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F6310A">
            <w:pPr>
              <w:rPr>
                <w:rStyle w:val="Firstpagetablebold"/>
              </w:rPr>
            </w:pPr>
            <w:r w:rsidRPr="00F95BC9">
              <w:rPr>
                <w:rStyle w:val="Firstpagetablebold"/>
              </w:rPr>
              <w:t>C</w:t>
            </w:r>
            <w:r w:rsidR="00F6310A">
              <w:rPr>
                <w:rStyle w:val="Firstpagetablebold"/>
              </w:rPr>
              <w:t>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95E1A" w:rsidP="00C51932">
            <w:pPr>
              <w:rPr>
                <w:b/>
              </w:rPr>
            </w:pPr>
            <w:r>
              <w:rPr>
                <w:rStyle w:val="Firstpagetablebold"/>
              </w:rPr>
              <w:t>27 January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6310A"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6310A" w:rsidP="00C51932">
            <w:pPr>
              <w:rPr>
                <w:rStyle w:val="Firstpagetablebold"/>
              </w:rPr>
            </w:pPr>
            <w:r>
              <w:rPr>
                <w:rStyle w:val="Firstpagetablebold"/>
              </w:rPr>
              <w:t>Constitution Review 201</w:t>
            </w:r>
            <w:r w:rsidR="00C51932">
              <w:rPr>
                <w:rStyle w:val="Firstpagetablebold"/>
              </w:rPr>
              <w:t>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91"/>
        <w:gridCol w:w="1847"/>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6310A" w:rsidP="00F6310A">
            <w:r>
              <w:t>This report recommends changes to the Council’s Constitution following an annual review of the Constitution overseen by a “Cross-Party Constitution Group”.</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F6310A"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5620B4">
            <w:pPr>
              <w:rPr>
                <w:rStyle w:val="Firstpagetablebold"/>
              </w:rPr>
            </w:pPr>
            <w:r>
              <w:rPr>
                <w:rStyle w:val="Firstpagetablebold"/>
              </w:rPr>
              <w:t>Lead</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Councillor </w:t>
            </w:r>
            <w:r w:rsidR="00F6310A">
              <w:t xml:space="preserve">Nigel Chapman, </w:t>
            </w:r>
            <w:r w:rsidR="005620B4">
              <w:t xml:space="preserve">City Executive Board Member for </w:t>
            </w:r>
            <w:r w:rsidR="00F6310A">
              <w:t>Customer Focused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F6310A" w:rsidP="005F7F7E">
            <w:r>
              <w:t>N/A</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6310A" w:rsidP="005F7F7E">
            <w:r>
              <w:t>N/</w:t>
            </w:r>
            <w:r w:rsidR="003F251A">
              <w:t>A</w:t>
            </w:r>
          </w:p>
        </w:tc>
      </w:tr>
      <w:tr w:rsidR="005F7F7E" w:rsidRPr="00975B07" w:rsidTr="00916D33">
        <w:trPr>
          <w:trHeight w:val="413"/>
        </w:trPr>
        <w:tc>
          <w:tcPr>
            <w:tcW w:w="8845" w:type="dxa"/>
            <w:gridSpan w:val="3"/>
            <w:tcBorders>
              <w:bottom w:val="single" w:sz="8" w:space="0" w:color="000000"/>
            </w:tcBorders>
          </w:tcPr>
          <w:p w:rsidR="005F7F7E" w:rsidRPr="00975B07" w:rsidRDefault="00342E15" w:rsidP="00D21514">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w:t>
            </w:r>
            <w:r w:rsidR="00F6310A">
              <w:rPr>
                <w:rStyle w:val="Firstpagetablebold"/>
              </w:rPr>
              <w:t>Council</w:t>
            </w:r>
            <w:r w:rsidR="005F7F7E">
              <w:rPr>
                <w:rStyle w:val="Firstpagetablebold"/>
              </w:rPr>
              <w:t xml:space="preserve"> resolves to:</w:t>
            </w:r>
          </w:p>
        </w:tc>
      </w:tr>
      <w:tr w:rsidR="0030208D" w:rsidRPr="00975B07" w:rsidTr="00997B37">
        <w:trPr>
          <w:trHeight w:val="551"/>
        </w:trPr>
        <w:tc>
          <w:tcPr>
            <w:tcW w:w="591" w:type="dxa"/>
            <w:tcBorders>
              <w:top w:val="single" w:sz="8" w:space="0" w:color="000000"/>
              <w:left w:val="single" w:sz="8" w:space="0" w:color="000000"/>
              <w:bottom w:val="nil"/>
              <w:right w:val="nil"/>
            </w:tcBorders>
          </w:tcPr>
          <w:p w:rsidR="00916D33" w:rsidRDefault="00046D2B" w:rsidP="00997B37">
            <w:r w:rsidRPr="00975B07">
              <w:t>1.</w:t>
            </w:r>
          </w:p>
          <w:p w:rsidR="00997B37" w:rsidRDefault="00997B37" w:rsidP="00997B37">
            <w:pPr>
              <w:spacing w:after="0"/>
            </w:pPr>
          </w:p>
          <w:p w:rsidR="00342E15" w:rsidRDefault="00997B37" w:rsidP="00997B37">
            <w:r>
              <w:t>2.</w:t>
            </w:r>
          </w:p>
          <w:p w:rsidR="00997B37" w:rsidRPr="00975B07" w:rsidRDefault="00997B37" w:rsidP="00997B37"/>
        </w:tc>
        <w:tc>
          <w:tcPr>
            <w:tcW w:w="8254" w:type="dxa"/>
            <w:gridSpan w:val="2"/>
            <w:tcBorders>
              <w:top w:val="single" w:sz="8" w:space="0" w:color="000000"/>
              <w:left w:val="nil"/>
              <w:bottom w:val="nil"/>
              <w:right w:val="single" w:sz="8" w:space="0" w:color="000000"/>
            </w:tcBorders>
            <w:shd w:val="clear" w:color="auto" w:fill="auto"/>
          </w:tcPr>
          <w:p w:rsidR="00997B37" w:rsidRPr="00997B37" w:rsidRDefault="00342E15" w:rsidP="00C95E1A">
            <w:pPr>
              <w:rPr>
                <w:rStyle w:val="Firstpagetablebold"/>
                <w:b w:val="0"/>
                <w:color w:val="auto"/>
              </w:rPr>
            </w:pPr>
            <w:r w:rsidRPr="00342E15">
              <w:rPr>
                <w:rStyle w:val="Firstpagetablebold"/>
                <w:color w:val="auto"/>
              </w:rPr>
              <w:t xml:space="preserve">Note </w:t>
            </w:r>
            <w:r w:rsidRPr="00342E15">
              <w:rPr>
                <w:rStyle w:val="Firstpagetablebold"/>
                <w:b w:val="0"/>
                <w:color w:val="auto"/>
              </w:rPr>
              <w:t>the list of amendments that the Monitoring Officer has made using delegated powers detailed in Appendix 1</w:t>
            </w:r>
            <w:r>
              <w:rPr>
                <w:rStyle w:val="Firstpagetablebold"/>
                <w:b w:val="0"/>
                <w:color w:val="auto"/>
              </w:rPr>
              <w:t>;</w:t>
            </w:r>
          </w:p>
          <w:p w:rsidR="00916D33" w:rsidRPr="00C51932" w:rsidRDefault="00F6310A" w:rsidP="00C95E1A">
            <w:pPr>
              <w:rPr>
                <w:color w:val="FF0000"/>
              </w:rPr>
            </w:pPr>
            <w:r w:rsidRPr="00342E15">
              <w:rPr>
                <w:rStyle w:val="Firstpagetablebold"/>
                <w:color w:val="auto"/>
              </w:rPr>
              <w:t>Approve</w:t>
            </w:r>
            <w:r w:rsidRPr="00342E15">
              <w:rPr>
                <w:rStyle w:val="Firstpagetablebold"/>
                <w:b w:val="0"/>
                <w:color w:val="auto"/>
              </w:rPr>
              <w:t xml:space="preserve"> the</w:t>
            </w:r>
            <w:r w:rsidR="00E715C7" w:rsidRPr="00342E15">
              <w:rPr>
                <w:rStyle w:val="Firstpagetablebold"/>
                <w:b w:val="0"/>
                <w:color w:val="auto"/>
              </w:rPr>
              <w:t xml:space="preserve"> list of proposed</w:t>
            </w:r>
            <w:r w:rsidRPr="00342E15">
              <w:rPr>
                <w:rStyle w:val="Firstpagetablebold"/>
                <w:b w:val="0"/>
                <w:color w:val="auto"/>
              </w:rPr>
              <w:t xml:space="preserve"> amend</w:t>
            </w:r>
            <w:r w:rsidR="00916D33" w:rsidRPr="00342E15">
              <w:rPr>
                <w:rStyle w:val="Firstpagetablebold"/>
                <w:b w:val="0"/>
                <w:color w:val="auto"/>
              </w:rPr>
              <w:t xml:space="preserve">ments to the </w:t>
            </w:r>
            <w:r w:rsidRPr="00342E15">
              <w:rPr>
                <w:rStyle w:val="Firstpagetablebold"/>
                <w:b w:val="0"/>
                <w:color w:val="auto"/>
              </w:rPr>
              <w:t xml:space="preserve">Constitution </w:t>
            </w:r>
            <w:r w:rsidR="00342E15" w:rsidRPr="00342E15">
              <w:rPr>
                <w:rStyle w:val="Firstpagetablebold"/>
                <w:b w:val="0"/>
                <w:color w:val="auto"/>
              </w:rPr>
              <w:t>detailed in Appendix 2</w:t>
            </w:r>
            <w:r w:rsidR="00E715C7" w:rsidRPr="00342E15">
              <w:rPr>
                <w:rStyle w:val="Firstpagetablebold"/>
                <w:b w:val="0"/>
                <w:color w:val="auto"/>
              </w:rPr>
              <w:t xml:space="preserve"> and highlighted in </w:t>
            </w:r>
            <w:r w:rsidR="00C95E1A" w:rsidRPr="00342E15">
              <w:rPr>
                <w:rStyle w:val="Firstpagetablebold"/>
                <w:b w:val="0"/>
                <w:color w:val="auto"/>
              </w:rPr>
              <w:t xml:space="preserve">the draft Constitution at </w:t>
            </w:r>
            <w:r w:rsidR="00342E15" w:rsidRPr="00342E15">
              <w:rPr>
                <w:rStyle w:val="Firstpagetablebold"/>
                <w:b w:val="0"/>
                <w:color w:val="auto"/>
              </w:rPr>
              <w:t>Appendix 3</w:t>
            </w:r>
            <w:r w:rsidR="00342E15">
              <w:rPr>
                <w:rStyle w:val="Firstpagetablebold"/>
                <w:b w:val="0"/>
                <w:color w:val="auto"/>
              </w:rPr>
              <w:t>;</w:t>
            </w:r>
          </w:p>
        </w:tc>
      </w:tr>
      <w:tr w:rsidR="00916D33" w:rsidRPr="00975B07" w:rsidTr="00997B37">
        <w:trPr>
          <w:trHeight w:val="283"/>
        </w:trPr>
        <w:tc>
          <w:tcPr>
            <w:tcW w:w="591" w:type="dxa"/>
            <w:tcBorders>
              <w:top w:val="nil"/>
              <w:left w:val="single" w:sz="8" w:space="0" w:color="000000"/>
              <w:bottom w:val="nil"/>
              <w:right w:val="nil"/>
            </w:tcBorders>
          </w:tcPr>
          <w:p w:rsidR="00916D33" w:rsidRDefault="00342E15" w:rsidP="00997B37">
            <w:r>
              <w:t>3</w:t>
            </w:r>
            <w:r w:rsidR="00916D33">
              <w:t>.</w:t>
            </w:r>
          </w:p>
          <w:p w:rsidR="00805E26" w:rsidRPr="00975B07" w:rsidRDefault="00805E26" w:rsidP="00997B37"/>
        </w:tc>
        <w:tc>
          <w:tcPr>
            <w:tcW w:w="8254" w:type="dxa"/>
            <w:gridSpan w:val="2"/>
            <w:tcBorders>
              <w:top w:val="nil"/>
              <w:left w:val="nil"/>
              <w:bottom w:val="nil"/>
              <w:right w:val="single" w:sz="8" w:space="0" w:color="000000"/>
            </w:tcBorders>
            <w:shd w:val="clear" w:color="auto" w:fill="auto"/>
          </w:tcPr>
          <w:p w:rsidR="00805E26" w:rsidRPr="00997B37" w:rsidRDefault="00916D33" w:rsidP="007637BE">
            <w:pPr>
              <w:rPr>
                <w:color w:val="auto"/>
              </w:rPr>
            </w:pPr>
            <w:r w:rsidRPr="00C51932">
              <w:rPr>
                <w:rStyle w:val="Firstpagetablebold"/>
                <w:color w:val="auto"/>
              </w:rPr>
              <w:t xml:space="preserve">Adopt </w:t>
            </w:r>
            <w:r w:rsidRPr="00C51932">
              <w:rPr>
                <w:rStyle w:val="Firstpagetablebold"/>
                <w:b w:val="0"/>
                <w:color w:val="auto"/>
              </w:rPr>
              <w:t xml:space="preserve">the </w:t>
            </w:r>
            <w:r w:rsidR="007B47A7" w:rsidRPr="00C51932">
              <w:rPr>
                <w:rStyle w:val="Firstpagetablebold"/>
                <w:b w:val="0"/>
                <w:color w:val="auto"/>
              </w:rPr>
              <w:t>revised</w:t>
            </w:r>
            <w:r w:rsidRPr="00C51932">
              <w:rPr>
                <w:rStyle w:val="Firstpagetablebold"/>
                <w:b w:val="0"/>
                <w:color w:val="auto"/>
              </w:rPr>
              <w:t xml:space="preserve"> Oxford City Council Constitution</w:t>
            </w:r>
            <w:r w:rsidR="00E715C7" w:rsidRPr="00C51932">
              <w:rPr>
                <w:rStyle w:val="Firstpagetablebold"/>
                <w:b w:val="0"/>
                <w:color w:val="auto"/>
              </w:rPr>
              <w:t xml:space="preserve"> attached a</w:t>
            </w:r>
            <w:r w:rsidR="00C95E1A">
              <w:rPr>
                <w:rStyle w:val="Firstpagetablebold"/>
                <w:b w:val="0"/>
                <w:color w:val="auto"/>
              </w:rPr>
              <w:t>t</w:t>
            </w:r>
            <w:r w:rsidR="007637BE">
              <w:rPr>
                <w:rStyle w:val="Firstpagetablebold"/>
                <w:b w:val="0"/>
                <w:color w:val="auto"/>
              </w:rPr>
              <w:t xml:space="preserve"> Appendix 3; </w:t>
            </w:r>
            <w:r w:rsidR="00645BB8">
              <w:rPr>
                <w:rFonts w:eastAsiaTheme="minorHAnsi"/>
                <w:color w:val="auto"/>
              </w:rPr>
              <w:t>and</w:t>
            </w:r>
          </w:p>
        </w:tc>
      </w:tr>
      <w:tr w:rsidR="00997B37" w:rsidRPr="00975B07" w:rsidTr="00997B37">
        <w:trPr>
          <w:trHeight w:val="283"/>
        </w:trPr>
        <w:tc>
          <w:tcPr>
            <w:tcW w:w="591" w:type="dxa"/>
            <w:tcBorders>
              <w:top w:val="nil"/>
              <w:left w:val="single" w:sz="8" w:space="0" w:color="000000"/>
              <w:bottom w:val="single" w:sz="4" w:space="0" w:color="auto"/>
              <w:right w:val="nil"/>
            </w:tcBorders>
          </w:tcPr>
          <w:p w:rsidR="00997B37" w:rsidRDefault="00997B37" w:rsidP="00997B37">
            <w:r>
              <w:t>4.</w:t>
            </w:r>
          </w:p>
        </w:tc>
        <w:tc>
          <w:tcPr>
            <w:tcW w:w="8254" w:type="dxa"/>
            <w:gridSpan w:val="2"/>
            <w:tcBorders>
              <w:top w:val="nil"/>
              <w:left w:val="nil"/>
              <w:bottom w:val="single" w:sz="4" w:space="0" w:color="auto"/>
              <w:right w:val="single" w:sz="8" w:space="0" w:color="000000"/>
            </w:tcBorders>
            <w:shd w:val="clear" w:color="auto" w:fill="auto"/>
          </w:tcPr>
          <w:p w:rsidR="00997B37" w:rsidRPr="00C51932" w:rsidRDefault="00997B37" w:rsidP="00997B37">
            <w:pPr>
              <w:rPr>
                <w:rStyle w:val="Firstpagetablebold"/>
                <w:b w:val="0"/>
                <w:color w:val="auto"/>
              </w:rPr>
            </w:pPr>
            <w:r w:rsidRPr="00C51932">
              <w:rPr>
                <w:rStyle w:val="Firstpagetablebold"/>
                <w:color w:val="auto"/>
              </w:rPr>
              <w:t>Delegate</w:t>
            </w:r>
            <w:r w:rsidRPr="00C51932">
              <w:rPr>
                <w:rStyle w:val="Firstpagetablebold"/>
                <w:b w:val="0"/>
                <w:color w:val="auto"/>
              </w:rPr>
              <w:t xml:space="preserve"> authority to the Head of Law and Governance to amend any further wording </w:t>
            </w:r>
            <w:r>
              <w:rPr>
                <w:rStyle w:val="Firstpagetablebold"/>
                <w:b w:val="0"/>
                <w:color w:val="auto"/>
              </w:rPr>
              <w:t xml:space="preserve">and/or numbering </w:t>
            </w:r>
            <w:r w:rsidRPr="00C51932">
              <w:rPr>
                <w:rStyle w:val="Firstpagetablebold"/>
                <w:b w:val="0"/>
                <w:color w:val="auto"/>
              </w:rPr>
              <w:t>that is identified as being inconsistent with the changes approved by Council.</w:t>
            </w:r>
          </w:p>
        </w:tc>
      </w:tr>
    </w:tbl>
    <w:p w:rsidR="00CE544A" w:rsidRPr="009E51FC"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rsidTr="007B47A7">
        <w:tc>
          <w:tcPr>
            <w:tcW w:w="8844" w:type="dxa"/>
            <w:gridSpan w:val="2"/>
            <w:tcBorders>
              <w:bottom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7B47A7">
        <w:tc>
          <w:tcPr>
            <w:tcW w:w="2438" w:type="dxa"/>
            <w:tcBorders>
              <w:bottom w:val="nil"/>
            </w:tcBorders>
            <w:shd w:val="clear" w:color="auto" w:fill="auto"/>
          </w:tcPr>
          <w:p w:rsidR="00ED5860" w:rsidRPr="00C51932" w:rsidRDefault="00ED5860" w:rsidP="004A6D2F">
            <w:pPr>
              <w:rPr>
                <w:color w:val="auto"/>
              </w:rPr>
            </w:pPr>
            <w:r w:rsidRPr="00C51932">
              <w:rPr>
                <w:color w:val="auto"/>
              </w:rPr>
              <w:t>Appendix 1</w:t>
            </w:r>
          </w:p>
        </w:tc>
        <w:tc>
          <w:tcPr>
            <w:tcW w:w="6406" w:type="dxa"/>
            <w:tcBorders>
              <w:bottom w:val="nil"/>
            </w:tcBorders>
          </w:tcPr>
          <w:p w:rsidR="00ED5860" w:rsidRPr="00C51932" w:rsidRDefault="00342E15" w:rsidP="00F750AD">
            <w:pPr>
              <w:rPr>
                <w:color w:val="auto"/>
              </w:rPr>
            </w:pPr>
            <w:r>
              <w:rPr>
                <w:color w:val="auto"/>
              </w:rPr>
              <w:t>List of amendments to the Constitution made by the Monitoring Officer using delegated authority</w:t>
            </w:r>
          </w:p>
        </w:tc>
      </w:tr>
      <w:tr w:rsidR="007B47A7" w:rsidRPr="00975B07" w:rsidTr="007B47A7">
        <w:tc>
          <w:tcPr>
            <w:tcW w:w="2438" w:type="dxa"/>
            <w:tcBorders>
              <w:top w:val="nil"/>
            </w:tcBorders>
            <w:shd w:val="clear" w:color="auto" w:fill="auto"/>
          </w:tcPr>
          <w:p w:rsidR="007B47A7" w:rsidRPr="00342E15" w:rsidRDefault="007B47A7" w:rsidP="004A6D2F">
            <w:pPr>
              <w:rPr>
                <w:color w:val="auto"/>
              </w:rPr>
            </w:pPr>
            <w:r w:rsidRPr="00342E15">
              <w:rPr>
                <w:color w:val="auto"/>
              </w:rPr>
              <w:t>Appendix 2</w:t>
            </w:r>
          </w:p>
          <w:p w:rsidR="00342E15" w:rsidRPr="00342E15" w:rsidRDefault="00342E15" w:rsidP="004A6D2F">
            <w:pPr>
              <w:rPr>
                <w:color w:val="auto"/>
              </w:rPr>
            </w:pPr>
            <w:r w:rsidRPr="00342E15">
              <w:rPr>
                <w:color w:val="auto"/>
              </w:rPr>
              <w:t>Appendix 3</w:t>
            </w:r>
          </w:p>
        </w:tc>
        <w:tc>
          <w:tcPr>
            <w:tcW w:w="6406" w:type="dxa"/>
            <w:tcBorders>
              <w:top w:val="nil"/>
            </w:tcBorders>
          </w:tcPr>
          <w:p w:rsidR="00342E15" w:rsidRPr="00342E15" w:rsidRDefault="00342E15" w:rsidP="00F750AD">
            <w:pPr>
              <w:rPr>
                <w:color w:val="auto"/>
              </w:rPr>
            </w:pPr>
            <w:r w:rsidRPr="00342E15">
              <w:rPr>
                <w:color w:val="auto"/>
              </w:rPr>
              <w:t>List of proposed amendments to the Constitution</w:t>
            </w:r>
          </w:p>
          <w:p w:rsidR="007B47A7" w:rsidRPr="00342E15" w:rsidRDefault="007B47A7" w:rsidP="00F750AD">
            <w:pPr>
              <w:rPr>
                <w:color w:val="auto"/>
              </w:rPr>
            </w:pPr>
            <w:r w:rsidRPr="00342E15">
              <w:rPr>
                <w:color w:val="auto"/>
              </w:rPr>
              <w:t xml:space="preserve">Oxford City Council Constitution </w:t>
            </w:r>
            <w:r w:rsidR="00EF7492" w:rsidRPr="00342E15">
              <w:rPr>
                <w:color w:val="auto"/>
              </w:rPr>
              <w:t xml:space="preserve">2020 </w:t>
            </w:r>
            <w:r w:rsidRPr="00342E15">
              <w:rPr>
                <w:color w:val="auto"/>
              </w:rPr>
              <w:t>(with proposed amendments highlighted)</w:t>
            </w:r>
            <w:bookmarkStart w:id="0" w:name="_GoBack"/>
            <w:bookmarkEnd w:id="0"/>
          </w:p>
        </w:tc>
      </w:tr>
    </w:tbl>
    <w:p w:rsidR="00B936A5" w:rsidRDefault="00B936A5" w:rsidP="00B936A5">
      <w:pPr>
        <w:pStyle w:val="Heading1"/>
        <w:spacing w:before="0"/>
      </w:pPr>
    </w:p>
    <w:p w:rsidR="002100E7" w:rsidRPr="002100E7" w:rsidRDefault="002100E7" w:rsidP="002100E7"/>
    <w:p w:rsidR="0040736F" w:rsidRPr="001356F1" w:rsidRDefault="00F66DCA" w:rsidP="00FB0487">
      <w:pPr>
        <w:pStyle w:val="Heading1"/>
        <w:spacing w:before="0"/>
      </w:pPr>
      <w:r w:rsidRPr="001356F1">
        <w:lastRenderedPageBreak/>
        <w:t>Introduction and b</w:t>
      </w:r>
      <w:r w:rsidR="00151888" w:rsidRPr="001356F1">
        <w:t>ackground</w:t>
      </w:r>
      <w:r w:rsidR="00404032" w:rsidRPr="001356F1">
        <w:t xml:space="preserve"> </w:t>
      </w:r>
    </w:p>
    <w:p w:rsidR="00FB0487" w:rsidRDefault="00E715C7" w:rsidP="00062BB1">
      <w:pPr>
        <w:pStyle w:val="Heading1"/>
        <w:numPr>
          <w:ilvl w:val="0"/>
          <w:numId w:val="34"/>
        </w:numPr>
        <w:spacing w:before="0"/>
        <w:ind w:left="426" w:hanging="426"/>
        <w:rPr>
          <w:b w:val="0"/>
        </w:rPr>
      </w:pPr>
      <w:r w:rsidRPr="00E715C7">
        <w:rPr>
          <w:b w:val="0"/>
        </w:rPr>
        <w:t>The</w:t>
      </w:r>
      <w:r>
        <w:rPr>
          <w:b w:val="0"/>
        </w:rPr>
        <w:t xml:space="preserve"> Constitution</w:t>
      </w:r>
      <w:r w:rsidRPr="00E715C7">
        <w:rPr>
          <w:b w:val="0"/>
        </w:rPr>
        <w:t xml:space="preserve"> forms a key part of the Council’s governance framework, setting rules, principles and procedures to enable the Council to take decisions and do its work effectively.  </w:t>
      </w:r>
    </w:p>
    <w:p w:rsidR="00E715C7" w:rsidRPr="00FB0487" w:rsidRDefault="00E715C7" w:rsidP="00FB57B4">
      <w:pPr>
        <w:pStyle w:val="Heading1"/>
        <w:numPr>
          <w:ilvl w:val="0"/>
          <w:numId w:val="34"/>
        </w:numPr>
        <w:spacing w:before="0" w:after="0"/>
        <w:rPr>
          <w:b w:val="0"/>
        </w:rPr>
      </w:pPr>
      <w:r w:rsidRPr="00E715C7">
        <w:rPr>
          <w:b w:val="0"/>
        </w:rPr>
        <w:t xml:space="preserve">The Constitution is reviewed annually to ensure that it continues to </w:t>
      </w:r>
      <w:r w:rsidR="003F0CC9">
        <w:rPr>
          <w:b w:val="0"/>
        </w:rPr>
        <w:t xml:space="preserve">properly </w:t>
      </w:r>
      <w:r w:rsidRPr="00E715C7">
        <w:rPr>
          <w:b w:val="0"/>
        </w:rPr>
        <w:t>reflect</w:t>
      </w:r>
      <w:r w:rsidR="00A575B1">
        <w:rPr>
          <w:b w:val="0"/>
        </w:rPr>
        <w:t xml:space="preserve"> </w:t>
      </w:r>
      <w:r w:rsidRPr="00E715C7">
        <w:rPr>
          <w:b w:val="0"/>
        </w:rPr>
        <w:t xml:space="preserve">the law and </w:t>
      </w:r>
      <w:r w:rsidR="00295311">
        <w:rPr>
          <w:b w:val="0"/>
        </w:rPr>
        <w:t xml:space="preserve">meet the needs of the Council. </w:t>
      </w:r>
      <w:r w:rsidR="00D3675F">
        <w:rPr>
          <w:b w:val="0"/>
        </w:rPr>
        <w:t xml:space="preserve">This is both a tidying up exercise and an opportunity to respond to governance </w:t>
      </w:r>
      <w:r w:rsidR="00962613">
        <w:rPr>
          <w:b w:val="0"/>
        </w:rPr>
        <w:t xml:space="preserve">changes and </w:t>
      </w:r>
      <w:r w:rsidR="00D3675F">
        <w:rPr>
          <w:b w:val="0"/>
        </w:rPr>
        <w:t>issues that have ari</w:t>
      </w:r>
      <w:r w:rsidR="00295311">
        <w:rPr>
          <w:b w:val="0"/>
        </w:rPr>
        <w:t xml:space="preserve">sen since the previous review. </w:t>
      </w:r>
      <w:r w:rsidR="00FB57B4" w:rsidRPr="00FB57B4">
        <w:rPr>
          <w:b w:val="0"/>
        </w:rPr>
        <w:t>A Cross-Party Constitution Review Working Group (“the Group”) was formed to consider suggestions from officers and elected members and shape</w:t>
      </w:r>
      <w:r w:rsidR="00FB57B4">
        <w:rPr>
          <w:b w:val="0"/>
        </w:rPr>
        <w:t xml:space="preserve"> the proposals before Council. </w:t>
      </w:r>
      <w:r w:rsidR="00FB57B4" w:rsidRPr="00FB57B4">
        <w:rPr>
          <w:b w:val="0"/>
        </w:rPr>
        <w:t>The Group was chaired by Councillor Chapman and its membership also included: Councillors Gant, Rowley, Rush, Taylor, Roz Smith and Wolff.  The Group held meetings on 9 October, 6 November and 4 December 2019.  F</w:t>
      </w:r>
      <w:r w:rsidR="00FB57B4">
        <w:rPr>
          <w:b w:val="0"/>
        </w:rPr>
        <w:t>ollowing the December meeting a</w:t>
      </w:r>
      <w:r w:rsidR="00FB57B4" w:rsidRPr="00FB57B4">
        <w:rPr>
          <w:b w:val="0"/>
        </w:rPr>
        <w:t xml:space="preserve"> briefing note was prepared and circulated for discussion with political groups.</w:t>
      </w:r>
    </w:p>
    <w:p w:rsidR="00E715C7" w:rsidRPr="00E715C7" w:rsidRDefault="00E715C7" w:rsidP="00C51932">
      <w:pPr>
        <w:pStyle w:val="ListParagraph"/>
        <w:spacing w:after="0"/>
        <w:ind w:left="357"/>
      </w:pPr>
    </w:p>
    <w:p w:rsidR="00633578" w:rsidRPr="001356F1" w:rsidRDefault="00E715C7" w:rsidP="00FB0487">
      <w:pPr>
        <w:pStyle w:val="Heading1"/>
        <w:spacing w:before="0"/>
      </w:pPr>
      <w:r>
        <w:t>Proposed amendments</w:t>
      </w:r>
    </w:p>
    <w:p w:rsidR="00C51932" w:rsidRDefault="00E715C7" w:rsidP="00793E1B">
      <w:pPr>
        <w:pStyle w:val="bParagraphtext"/>
        <w:numPr>
          <w:ilvl w:val="0"/>
          <w:numId w:val="34"/>
        </w:numPr>
        <w:ind w:left="425" w:hanging="425"/>
      </w:pPr>
      <w:r w:rsidRPr="00C51932">
        <w:rPr>
          <w:rStyle w:val="ListParagraphChar"/>
          <w:color w:val="auto"/>
        </w:rPr>
        <w:t xml:space="preserve">A list of </w:t>
      </w:r>
      <w:r w:rsidR="007B47A7" w:rsidRPr="00C51932">
        <w:rPr>
          <w:rStyle w:val="ListParagraphChar"/>
          <w:color w:val="auto"/>
        </w:rPr>
        <w:t xml:space="preserve">the </w:t>
      </w:r>
      <w:r w:rsidRPr="00C51932">
        <w:rPr>
          <w:rStyle w:val="ListParagraphChar"/>
          <w:color w:val="auto"/>
        </w:rPr>
        <w:t xml:space="preserve">proposed amendments </w:t>
      </w:r>
      <w:r w:rsidR="00062BB1" w:rsidRPr="00C51932">
        <w:rPr>
          <w:rStyle w:val="ListParagraphChar"/>
          <w:color w:val="auto"/>
        </w:rPr>
        <w:t>resulting from</w:t>
      </w:r>
      <w:r w:rsidR="0069476D" w:rsidRPr="00C51932">
        <w:rPr>
          <w:rStyle w:val="ListParagraphChar"/>
          <w:color w:val="auto"/>
        </w:rPr>
        <w:t xml:space="preserve"> the Constitution Review 201</w:t>
      </w:r>
      <w:r w:rsidR="00C51932" w:rsidRPr="00C51932">
        <w:rPr>
          <w:rStyle w:val="ListParagraphChar"/>
          <w:color w:val="auto"/>
        </w:rPr>
        <w:t>9</w:t>
      </w:r>
      <w:r w:rsidR="0069476D" w:rsidRPr="00C51932">
        <w:rPr>
          <w:rStyle w:val="ListParagraphChar"/>
          <w:color w:val="auto"/>
        </w:rPr>
        <w:t xml:space="preserve"> </w:t>
      </w:r>
      <w:r w:rsidR="00295311">
        <w:rPr>
          <w:rStyle w:val="ListParagraphChar"/>
          <w:color w:val="auto"/>
        </w:rPr>
        <w:t>is attached as Appendix 2</w:t>
      </w:r>
      <w:r w:rsidRPr="00C51932">
        <w:rPr>
          <w:rStyle w:val="ListParagraphChar"/>
          <w:color w:val="auto"/>
        </w:rPr>
        <w:t>.</w:t>
      </w:r>
      <w:r>
        <w:rPr>
          <w:rStyle w:val="ListParagraphChar"/>
        </w:rPr>
        <w:t xml:space="preserve"> </w:t>
      </w:r>
      <w:r w:rsidRPr="00E715C7">
        <w:t xml:space="preserve">Many of the proposed amendments are intended to provide </w:t>
      </w:r>
      <w:r w:rsidR="008411D8">
        <w:t xml:space="preserve">additional </w:t>
      </w:r>
      <w:r w:rsidRPr="00E715C7">
        <w:t xml:space="preserve">clarity about existing rules or to better reflect current practices where these have </w:t>
      </w:r>
      <w:r w:rsidR="00C51932">
        <w:t>changed</w:t>
      </w:r>
      <w:r w:rsidR="00290FF8">
        <w:t xml:space="preserve"> since the Constitution was last updated</w:t>
      </w:r>
      <w:r w:rsidR="008411D8">
        <w:t xml:space="preserve"> by Council</w:t>
      </w:r>
      <w:r w:rsidR="00C51932">
        <w:t xml:space="preserve"> in November 2018</w:t>
      </w:r>
      <w:r w:rsidRPr="00E715C7">
        <w:t xml:space="preserve">.  </w:t>
      </w:r>
    </w:p>
    <w:p w:rsidR="00555AFA" w:rsidRDefault="00062BB1" w:rsidP="008A5929">
      <w:pPr>
        <w:pStyle w:val="bParagraphtext"/>
        <w:numPr>
          <w:ilvl w:val="0"/>
          <w:numId w:val="34"/>
        </w:numPr>
        <w:ind w:left="425" w:hanging="425"/>
        <w:rPr>
          <w:rStyle w:val="ListParagraphChar"/>
        </w:rPr>
      </w:pPr>
      <w:r w:rsidRPr="00C51932">
        <w:rPr>
          <w:color w:val="auto"/>
        </w:rPr>
        <w:t>A</w:t>
      </w:r>
      <w:r w:rsidR="0069476D" w:rsidRPr="00C51932">
        <w:rPr>
          <w:color w:val="auto"/>
        </w:rPr>
        <w:t xml:space="preserve"> number of </w:t>
      </w:r>
      <w:r w:rsidR="007B47A7" w:rsidRPr="00C51932">
        <w:rPr>
          <w:color w:val="auto"/>
        </w:rPr>
        <w:t>proposals do represent changes to</w:t>
      </w:r>
      <w:r w:rsidR="0069476D" w:rsidRPr="00C51932">
        <w:rPr>
          <w:color w:val="auto"/>
        </w:rPr>
        <w:t xml:space="preserve"> current arrangements</w:t>
      </w:r>
      <w:r w:rsidR="007B47A7" w:rsidRPr="00C51932">
        <w:rPr>
          <w:color w:val="auto"/>
        </w:rPr>
        <w:t xml:space="preserve"> and as such may be of particular interest to elected members and the public.</w:t>
      </w:r>
      <w:r w:rsidR="00295311">
        <w:rPr>
          <w:color w:val="auto"/>
        </w:rPr>
        <w:t xml:space="preserve"> </w:t>
      </w:r>
      <w:r w:rsidR="005E5D3A" w:rsidRPr="00C51932">
        <w:rPr>
          <w:color w:val="auto"/>
        </w:rPr>
        <w:t>These changes are explained in more detail</w:t>
      </w:r>
      <w:r w:rsidR="005E5D3A" w:rsidRPr="00C51932">
        <w:rPr>
          <w:color w:val="FF0000"/>
        </w:rPr>
        <w:t xml:space="preserve"> </w:t>
      </w:r>
      <w:r w:rsidR="008A5929">
        <w:rPr>
          <w:color w:val="auto"/>
        </w:rPr>
        <w:t>in the table below.</w:t>
      </w:r>
      <w:r w:rsidR="0007365E" w:rsidRPr="008A5929">
        <w:rPr>
          <w:color w:val="auto"/>
        </w:rPr>
        <w:t xml:space="preserve">  </w:t>
      </w:r>
      <w:r w:rsidRPr="008A5929">
        <w:rPr>
          <w:b/>
        </w:rPr>
        <w:tab/>
      </w:r>
    </w:p>
    <w:p w:rsidR="003F0CC9" w:rsidRPr="007B7454" w:rsidRDefault="003F0CC9" w:rsidP="003F0CC9">
      <w:pPr>
        <w:spacing w:after="0"/>
        <w:rPr>
          <w:rFonts w:eastAsia="Calibri" w:cs="Arial"/>
          <w:b/>
        </w:rPr>
      </w:pPr>
    </w:p>
    <w:tbl>
      <w:tblPr>
        <w:tblStyle w:val="TableGrid"/>
        <w:tblW w:w="10519" w:type="dxa"/>
        <w:tblInd w:w="-318" w:type="dxa"/>
        <w:tblLayout w:type="fixed"/>
        <w:tblLook w:val="04A0" w:firstRow="1" w:lastRow="0" w:firstColumn="1" w:lastColumn="0" w:noHBand="0" w:noVBand="1"/>
      </w:tblPr>
      <w:tblGrid>
        <w:gridCol w:w="2014"/>
        <w:gridCol w:w="3828"/>
        <w:gridCol w:w="4677"/>
      </w:tblGrid>
      <w:tr w:rsidR="003F0CC9" w:rsidTr="00D25AD1">
        <w:tc>
          <w:tcPr>
            <w:tcW w:w="2014" w:type="dxa"/>
          </w:tcPr>
          <w:p w:rsidR="003F0CC9" w:rsidRPr="007B7454" w:rsidRDefault="003F0CC9" w:rsidP="002F3FCE">
            <w:pPr>
              <w:rPr>
                <w:rFonts w:eastAsia="Calibri"/>
                <w:b/>
              </w:rPr>
            </w:pPr>
            <w:r>
              <w:rPr>
                <w:rFonts w:eastAsia="Calibri"/>
                <w:b/>
              </w:rPr>
              <w:t>Constitution reference</w:t>
            </w:r>
          </w:p>
        </w:tc>
        <w:tc>
          <w:tcPr>
            <w:tcW w:w="3828" w:type="dxa"/>
          </w:tcPr>
          <w:p w:rsidR="003F0CC9" w:rsidRPr="007B7454" w:rsidRDefault="003F0CC9" w:rsidP="002F3FCE">
            <w:pPr>
              <w:rPr>
                <w:rFonts w:eastAsia="Calibri"/>
                <w:b/>
              </w:rPr>
            </w:pPr>
            <w:r w:rsidRPr="007B7454">
              <w:rPr>
                <w:rFonts w:eastAsia="Calibri"/>
                <w:b/>
              </w:rPr>
              <w:t>Proposed change</w:t>
            </w:r>
            <w:r>
              <w:rPr>
                <w:rFonts w:eastAsia="Calibri"/>
                <w:b/>
              </w:rPr>
              <w:t>(s)</w:t>
            </w:r>
          </w:p>
        </w:tc>
        <w:tc>
          <w:tcPr>
            <w:tcW w:w="4677" w:type="dxa"/>
          </w:tcPr>
          <w:p w:rsidR="003F0CC9" w:rsidRPr="007B7454" w:rsidRDefault="003F0CC9" w:rsidP="002F3FCE">
            <w:pPr>
              <w:rPr>
                <w:rFonts w:eastAsia="Calibri"/>
                <w:b/>
              </w:rPr>
            </w:pPr>
            <w:r w:rsidRPr="007B7454">
              <w:rPr>
                <w:rFonts w:eastAsia="Calibri"/>
                <w:b/>
              </w:rPr>
              <w:t>Rationale</w:t>
            </w:r>
          </w:p>
        </w:tc>
      </w:tr>
      <w:tr w:rsidR="003F0CC9" w:rsidTr="00D25AD1">
        <w:tc>
          <w:tcPr>
            <w:tcW w:w="2014" w:type="dxa"/>
          </w:tcPr>
          <w:p w:rsidR="003F0CC9" w:rsidRDefault="003F0CC9" w:rsidP="002F3FCE">
            <w:pPr>
              <w:rPr>
                <w:rFonts w:eastAsia="Calibri"/>
              </w:rPr>
            </w:pPr>
            <w:r>
              <w:rPr>
                <w:rFonts w:eastAsia="Calibri"/>
              </w:rPr>
              <w:t>Area planning committees 5.3(b)</w:t>
            </w:r>
          </w:p>
        </w:tc>
        <w:tc>
          <w:tcPr>
            <w:tcW w:w="3828" w:type="dxa"/>
          </w:tcPr>
          <w:p w:rsidR="003F0CC9" w:rsidRPr="00D25AD1" w:rsidRDefault="003F0CC9" w:rsidP="003F0CC9">
            <w:pPr>
              <w:pStyle w:val="ListParagraph"/>
              <w:numPr>
                <w:ilvl w:val="0"/>
                <w:numId w:val="40"/>
              </w:numPr>
              <w:tabs>
                <w:tab w:val="clear" w:pos="426"/>
              </w:tabs>
              <w:spacing w:after="0"/>
              <w:contextualSpacing/>
              <w:rPr>
                <w:rFonts w:eastAsia="Calibri"/>
              </w:rPr>
            </w:pPr>
            <w:r w:rsidRPr="00D25AD1">
              <w:rPr>
                <w:rFonts w:eastAsia="Calibri"/>
              </w:rPr>
              <w:t xml:space="preserve">Raise the thresholds for non-residential planning applications that must be decided by committee: </w:t>
            </w:r>
          </w:p>
          <w:p w:rsidR="003F0CC9" w:rsidRPr="00D25AD1" w:rsidRDefault="003F0CC9" w:rsidP="003F0CC9">
            <w:pPr>
              <w:pStyle w:val="ListParagraph"/>
              <w:numPr>
                <w:ilvl w:val="1"/>
                <w:numId w:val="40"/>
              </w:numPr>
              <w:tabs>
                <w:tab w:val="clear" w:pos="426"/>
              </w:tabs>
              <w:spacing w:after="0"/>
              <w:contextualSpacing/>
              <w:rPr>
                <w:rFonts w:eastAsia="Calibri"/>
              </w:rPr>
            </w:pPr>
            <w:proofErr w:type="gramStart"/>
            <w:r w:rsidRPr="00D25AD1">
              <w:rPr>
                <w:rFonts w:eastAsia="Calibri"/>
              </w:rPr>
              <w:t>to</w:t>
            </w:r>
            <w:proofErr w:type="gramEnd"/>
            <w:r w:rsidRPr="00D25AD1">
              <w:rPr>
                <w:rFonts w:eastAsia="Calibri"/>
              </w:rPr>
              <w:t xml:space="preserve"> non-residential sites over 1 hectare (from over 0.5 hectares).</w:t>
            </w:r>
          </w:p>
          <w:p w:rsidR="003F0CC9" w:rsidRPr="00D25AD1" w:rsidRDefault="003F0CC9" w:rsidP="003F0CC9">
            <w:pPr>
              <w:pStyle w:val="ListParagraph"/>
              <w:numPr>
                <w:ilvl w:val="1"/>
                <w:numId w:val="40"/>
              </w:numPr>
              <w:tabs>
                <w:tab w:val="clear" w:pos="426"/>
              </w:tabs>
              <w:spacing w:after="0"/>
              <w:contextualSpacing/>
              <w:rPr>
                <w:rFonts w:eastAsia="Calibri"/>
              </w:rPr>
            </w:pPr>
            <w:proofErr w:type="gramStart"/>
            <w:r w:rsidRPr="00D25AD1">
              <w:rPr>
                <w:rFonts w:eastAsia="Calibri"/>
              </w:rPr>
              <w:t>to</w:t>
            </w:r>
            <w:proofErr w:type="gramEnd"/>
            <w:r w:rsidRPr="00D25AD1">
              <w:rPr>
                <w:rFonts w:eastAsia="Calibri"/>
              </w:rPr>
              <w:t xml:space="preserve"> new or increased non-residential floor space of  1,000m2 (from 500m2).</w:t>
            </w:r>
          </w:p>
          <w:p w:rsidR="003F0CC9" w:rsidRPr="00D25AD1" w:rsidRDefault="003F0CC9" w:rsidP="00C63C3B">
            <w:pPr>
              <w:pStyle w:val="ListParagraph"/>
              <w:numPr>
                <w:ilvl w:val="0"/>
                <w:numId w:val="40"/>
              </w:numPr>
              <w:tabs>
                <w:tab w:val="clear" w:pos="426"/>
              </w:tabs>
              <w:spacing w:after="0"/>
              <w:contextualSpacing/>
              <w:rPr>
                <w:rFonts w:eastAsia="Calibri"/>
              </w:rPr>
            </w:pPr>
            <w:r w:rsidRPr="00D25AD1">
              <w:rPr>
                <w:rFonts w:eastAsia="Calibri"/>
              </w:rPr>
              <w:t xml:space="preserve">Remove the need for </w:t>
            </w:r>
            <w:r w:rsidR="00295311" w:rsidRPr="00D25AD1">
              <w:rPr>
                <w:rFonts w:eastAsia="Calibri"/>
              </w:rPr>
              <w:t xml:space="preserve">all </w:t>
            </w:r>
            <w:r w:rsidR="00FB57B4" w:rsidRPr="00D25AD1">
              <w:rPr>
                <w:rFonts w:eastAsia="Calibri"/>
              </w:rPr>
              <w:t xml:space="preserve">planning </w:t>
            </w:r>
            <w:r w:rsidRPr="00D25AD1">
              <w:rPr>
                <w:rFonts w:eastAsia="Calibri"/>
              </w:rPr>
              <w:t>applications submitted by the Council t</w:t>
            </w:r>
            <w:r w:rsidR="00295311" w:rsidRPr="00D25AD1">
              <w:rPr>
                <w:rFonts w:eastAsia="Calibri"/>
              </w:rPr>
              <w:t xml:space="preserve">o be decided by committee. Any applications </w:t>
            </w:r>
            <w:r w:rsidR="00D23EA2" w:rsidRPr="00D25AD1">
              <w:rPr>
                <w:rFonts w:eastAsia="Calibri"/>
              </w:rPr>
              <w:t>(</w:t>
            </w:r>
            <w:r w:rsidR="00C63C3B" w:rsidRPr="00D25AD1">
              <w:rPr>
                <w:rFonts w:eastAsia="Calibri"/>
              </w:rPr>
              <w:t>both</w:t>
            </w:r>
            <w:r w:rsidR="00D23EA2" w:rsidRPr="00D25AD1">
              <w:rPr>
                <w:rFonts w:eastAsia="Calibri"/>
              </w:rPr>
              <w:t xml:space="preserve"> residential </w:t>
            </w:r>
            <w:r w:rsidR="00C63C3B" w:rsidRPr="00D25AD1">
              <w:rPr>
                <w:rFonts w:eastAsia="Calibri"/>
              </w:rPr>
              <w:t>and</w:t>
            </w:r>
            <w:r w:rsidR="00D23EA2" w:rsidRPr="00D25AD1">
              <w:rPr>
                <w:rFonts w:eastAsia="Calibri"/>
              </w:rPr>
              <w:t xml:space="preserve"> non-residential) </w:t>
            </w:r>
            <w:r w:rsidR="00057FA1">
              <w:rPr>
                <w:rFonts w:eastAsia="Calibri"/>
              </w:rPr>
              <w:t xml:space="preserve">submitted </w:t>
            </w:r>
            <w:r w:rsidR="00295311" w:rsidRPr="00D25AD1">
              <w:rPr>
                <w:rFonts w:eastAsia="Calibri"/>
              </w:rPr>
              <w:t>by the Council</w:t>
            </w:r>
            <w:r w:rsidRPr="00D25AD1">
              <w:rPr>
                <w:rFonts w:eastAsia="Calibri"/>
              </w:rPr>
              <w:t xml:space="preserve"> would be subject to the same thresholds as non-Council applications.</w:t>
            </w:r>
          </w:p>
        </w:tc>
        <w:tc>
          <w:tcPr>
            <w:tcW w:w="4677" w:type="dxa"/>
          </w:tcPr>
          <w:p w:rsidR="003F0CC9" w:rsidRDefault="003F0CC9" w:rsidP="002F3FCE">
            <w:pPr>
              <w:rPr>
                <w:rFonts w:eastAsia="Calibri"/>
              </w:rPr>
            </w:pPr>
            <w:r>
              <w:rPr>
                <w:rFonts w:eastAsia="Calibri"/>
              </w:rPr>
              <w:t xml:space="preserve">To </w:t>
            </w:r>
            <w:r w:rsidRPr="003F5505">
              <w:rPr>
                <w:rFonts w:eastAsia="Calibri"/>
              </w:rPr>
              <w:t xml:space="preserve">reduce the number of </w:t>
            </w:r>
            <w:r>
              <w:rPr>
                <w:rFonts w:eastAsia="Calibri"/>
              </w:rPr>
              <w:t xml:space="preserve">non-major </w:t>
            </w:r>
            <w:r w:rsidRPr="003F5505">
              <w:rPr>
                <w:rFonts w:eastAsia="Calibri"/>
              </w:rPr>
              <w:t xml:space="preserve">applications </w:t>
            </w:r>
            <w:r>
              <w:rPr>
                <w:rFonts w:eastAsia="Calibri"/>
              </w:rPr>
              <w:t xml:space="preserve">that must be decided by area </w:t>
            </w:r>
            <w:r w:rsidR="00FB57B4">
              <w:rPr>
                <w:rFonts w:eastAsia="Calibri"/>
              </w:rPr>
              <w:t xml:space="preserve">planning </w:t>
            </w:r>
            <w:r>
              <w:rPr>
                <w:rFonts w:eastAsia="Calibri"/>
              </w:rPr>
              <w:t>c</w:t>
            </w:r>
            <w:r w:rsidRPr="003F5505">
              <w:rPr>
                <w:rFonts w:eastAsia="Calibri"/>
              </w:rPr>
              <w:t>ommittee</w:t>
            </w:r>
            <w:r>
              <w:rPr>
                <w:rFonts w:eastAsia="Calibri"/>
              </w:rPr>
              <w:t>s. These applications would still be subject to call in. No changes are proposed for residential developments (5 units or sites over 0.5 hectares) or for ap</w:t>
            </w:r>
            <w:r w:rsidRPr="00605477">
              <w:rPr>
                <w:rFonts w:eastAsia="Calibri"/>
              </w:rPr>
              <w:t>plications from councillor</w:t>
            </w:r>
            <w:r>
              <w:rPr>
                <w:rFonts w:eastAsia="Calibri"/>
              </w:rPr>
              <w:t>s and Council employees, which would</w:t>
            </w:r>
            <w:r w:rsidRPr="00605477">
              <w:rPr>
                <w:rFonts w:eastAsia="Calibri"/>
              </w:rPr>
              <w:t xml:space="preserve"> still </w:t>
            </w:r>
            <w:r w:rsidR="00FB57B4">
              <w:rPr>
                <w:rFonts w:eastAsia="Calibri"/>
              </w:rPr>
              <w:t xml:space="preserve">have to </w:t>
            </w:r>
            <w:r w:rsidRPr="00605477">
              <w:rPr>
                <w:rFonts w:eastAsia="Calibri"/>
              </w:rPr>
              <w:t xml:space="preserve">be </w:t>
            </w:r>
            <w:r>
              <w:rPr>
                <w:rFonts w:eastAsia="Calibri"/>
              </w:rPr>
              <w:t xml:space="preserve">decided </w:t>
            </w:r>
            <w:r w:rsidRPr="00605477">
              <w:rPr>
                <w:rFonts w:eastAsia="Calibri"/>
              </w:rPr>
              <w:t xml:space="preserve">by </w:t>
            </w:r>
            <w:r w:rsidR="00295311">
              <w:rPr>
                <w:rFonts w:eastAsia="Calibri"/>
              </w:rPr>
              <w:t xml:space="preserve">a planning </w:t>
            </w:r>
            <w:r w:rsidRPr="00605477">
              <w:rPr>
                <w:rFonts w:eastAsia="Calibri"/>
              </w:rPr>
              <w:t>committee</w:t>
            </w:r>
            <w:r>
              <w:rPr>
                <w:rFonts w:eastAsia="Calibri"/>
              </w:rPr>
              <w:t xml:space="preserve">. </w:t>
            </w:r>
          </w:p>
        </w:tc>
      </w:tr>
      <w:tr w:rsidR="003F0CC9" w:rsidTr="00D25AD1">
        <w:tc>
          <w:tcPr>
            <w:tcW w:w="2014" w:type="dxa"/>
          </w:tcPr>
          <w:p w:rsidR="003F0CC9" w:rsidRPr="007B7454" w:rsidRDefault="003F0CC9" w:rsidP="002F3FCE">
            <w:pPr>
              <w:rPr>
                <w:rFonts w:eastAsia="Calibri"/>
              </w:rPr>
            </w:pPr>
            <w:r w:rsidRPr="007B7454">
              <w:rPr>
                <w:rFonts w:eastAsia="Calibri"/>
              </w:rPr>
              <w:lastRenderedPageBreak/>
              <w:t>Role of Head of Paid Service</w:t>
            </w:r>
            <w:r>
              <w:rPr>
                <w:rFonts w:eastAsia="Calibri"/>
              </w:rPr>
              <w:t xml:space="preserve"> - </w:t>
            </w:r>
            <w:r w:rsidRPr="007B7454">
              <w:rPr>
                <w:rFonts w:eastAsia="Calibri"/>
              </w:rPr>
              <w:t>9.3(a)</w:t>
            </w:r>
          </w:p>
        </w:tc>
        <w:tc>
          <w:tcPr>
            <w:tcW w:w="3828" w:type="dxa"/>
          </w:tcPr>
          <w:p w:rsidR="003F0CC9" w:rsidRPr="00D25AD1" w:rsidRDefault="003F0CC9" w:rsidP="003F0CC9">
            <w:pPr>
              <w:pStyle w:val="ListParagraph"/>
              <w:numPr>
                <w:ilvl w:val="0"/>
                <w:numId w:val="39"/>
              </w:numPr>
              <w:tabs>
                <w:tab w:val="clear" w:pos="426"/>
              </w:tabs>
              <w:spacing w:after="0"/>
              <w:contextualSpacing/>
              <w:rPr>
                <w:rFonts w:eastAsia="Calibri"/>
              </w:rPr>
            </w:pPr>
            <w:r w:rsidRPr="00D25AD1">
              <w:rPr>
                <w:rFonts w:eastAsia="Calibri"/>
              </w:rPr>
              <w:t>Remove the restriction on implementing changes to the senior management structure that increase the number of senior management posts or the overall salary costs of senior management.</w:t>
            </w:r>
            <w:r w:rsidR="00D23EA2" w:rsidRPr="00D25AD1">
              <w:rPr>
                <w:rFonts w:eastAsia="Calibri"/>
              </w:rPr>
              <w:t xml:space="preserve"> Any </w:t>
            </w:r>
            <w:r w:rsidR="00C63C3B" w:rsidRPr="00D25AD1">
              <w:rPr>
                <w:rFonts w:eastAsia="Calibri"/>
              </w:rPr>
              <w:t>changes will be subject to budget.</w:t>
            </w:r>
          </w:p>
          <w:p w:rsidR="003F0CC9" w:rsidRPr="00D25AD1" w:rsidRDefault="003F0CC9" w:rsidP="003F0CC9">
            <w:pPr>
              <w:pStyle w:val="ListParagraph"/>
              <w:numPr>
                <w:ilvl w:val="0"/>
                <w:numId w:val="39"/>
              </w:numPr>
              <w:tabs>
                <w:tab w:val="clear" w:pos="426"/>
              </w:tabs>
              <w:spacing w:after="0"/>
              <w:contextualSpacing/>
              <w:rPr>
                <w:rFonts w:eastAsia="Calibri"/>
              </w:rPr>
            </w:pPr>
            <w:r w:rsidRPr="00D25AD1">
              <w:rPr>
                <w:rFonts w:eastAsia="Calibri"/>
              </w:rPr>
              <w:t>Add authority for the Chief Executive in consultation with the Leader and other Group Leaders to appoint Assistant Chief Executives and Executive Directors on an interim basis for a maximum period of twelve months.</w:t>
            </w:r>
          </w:p>
          <w:p w:rsidR="003F0CC9" w:rsidRPr="00D25AD1" w:rsidRDefault="003F0CC9" w:rsidP="003F0CC9">
            <w:pPr>
              <w:pStyle w:val="ListParagraph"/>
              <w:numPr>
                <w:ilvl w:val="0"/>
                <w:numId w:val="39"/>
              </w:numPr>
              <w:tabs>
                <w:tab w:val="clear" w:pos="426"/>
              </w:tabs>
              <w:spacing w:after="0"/>
              <w:contextualSpacing/>
              <w:rPr>
                <w:rFonts w:eastAsia="Calibri"/>
              </w:rPr>
            </w:pPr>
            <w:r w:rsidRPr="00D25AD1">
              <w:rPr>
                <w:rFonts w:eastAsia="Calibri"/>
              </w:rPr>
              <w:t xml:space="preserve">Add that the Chief Executive will report to the Appointments Committee every six months on the Council’s senior management arrangements. </w:t>
            </w:r>
          </w:p>
        </w:tc>
        <w:tc>
          <w:tcPr>
            <w:tcW w:w="4677" w:type="dxa"/>
          </w:tcPr>
          <w:p w:rsidR="003F0CC9" w:rsidRDefault="003F0CC9" w:rsidP="002F3FCE">
            <w:pPr>
              <w:rPr>
                <w:rFonts w:eastAsia="Calibri"/>
              </w:rPr>
            </w:pPr>
            <w:r>
              <w:rPr>
                <w:rFonts w:eastAsia="Calibri"/>
              </w:rPr>
              <w:t>T</w:t>
            </w:r>
            <w:r w:rsidRPr="00946E27">
              <w:rPr>
                <w:rFonts w:eastAsia="Calibri"/>
              </w:rPr>
              <w:t xml:space="preserve">o strike an appropriate balance </w:t>
            </w:r>
            <w:r>
              <w:rPr>
                <w:rFonts w:eastAsia="Calibri"/>
              </w:rPr>
              <w:t xml:space="preserve">that </w:t>
            </w:r>
            <w:r w:rsidRPr="00946E27">
              <w:rPr>
                <w:rFonts w:eastAsia="Calibri"/>
              </w:rPr>
              <w:t>meet</w:t>
            </w:r>
            <w:r>
              <w:rPr>
                <w:rFonts w:eastAsia="Calibri"/>
              </w:rPr>
              <w:t>s</w:t>
            </w:r>
            <w:r w:rsidRPr="00946E27">
              <w:rPr>
                <w:rFonts w:eastAsia="Calibri"/>
              </w:rPr>
              <w:t xml:space="preserve"> members’ expectations that </w:t>
            </w:r>
            <w:r>
              <w:rPr>
                <w:rFonts w:eastAsia="Calibri"/>
              </w:rPr>
              <w:t>the Chief Executive</w:t>
            </w:r>
            <w:r w:rsidRPr="00946E27">
              <w:rPr>
                <w:rFonts w:eastAsia="Calibri"/>
              </w:rPr>
              <w:t xml:space="preserve"> w</w:t>
            </w:r>
            <w:r>
              <w:rPr>
                <w:rFonts w:eastAsia="Calibri"/>
              </w:rPr>
              <w:t>ill</w:t>
            </w:r>
            <w:r w:rsidRPr="00946E27">
              <w:rPr>
                <w:rFonts w:eastAsia="Calibri"/>
              </w:rPr>
              <w:t xml:space="preserve"> act proactively to shape the </w:t>
            </w:r>
            <w:r>
              <w:rPr>
                <w:rFonts w:eastAsia="Calibri"/>
              </w:rPr>
              <w:t xml:space="preserve">senior management </w:t>
            </w:r>
            <w:r w:rsidRPr="00946E27">
              <w:rPr>
                <w:rFonts w:eastAsia="Calibri"/>
              </w:rPr>
              <w:t xml:space="preserve">of the Council whilst meeting the Council’s high standards of accountability.  </w:t>
            </w:r>
          </w:p>
        </w:tc>
      </w:tr>
      <w:tr w:rsidR="003F0CC9" w:rsidTr="00D25AD1">
        <w:tc>
          <w:tcPr>
            <w:tcW w:w="2014" w:type="dxa"/>
          </w:tcPr>
          <w:p w:rsidR="003F0CC9" w:rsidRPr="007B7454" w:rsidRDefault="003F0CC9" w:rsidP="002F3FCE">
            <w:pPr>
              <w:rPr>
                <w:rFonts w:eastAsia="Calibri"/>
              </w:rPr>
            </w:pPr>
            <w:r>
              <w:rPr>
                <w:rFonts w:eastAsia="Calibri"/>
              </w:rPr>
              <w:t>Council procedures -q</w:t>
            </w:r>
            <w:r w:rsidRPr="007B7454">
              <w:rPr>
                <w:rFonts w:eastAsia="Calibri"/>
              </w:rPr>
              <w:t>uestions by the public 11.13(e)</w:t>
            </w:r>
          </w:p>
        </w:tc>
        <w:tc>
          <w:tcPr>
            <w:tcW w:w="3828" w:type="dxa"/>
          </w:tcPr>
          <w:p w:rsidR="003F0CC9" w:rsidRPr="00E900E3" w:rsidRDefault="003F0CC9" w:rsidP="003F0CC9">
            <w:pPr>
              <w:pStyle w:val="ListParagraph"/>
              <w:numPr>
                <w:ilvl w:val="0"/>
                <w:numId w:val="38"/>
              </w:numPr>
              <w:tabs>
                <w:tab w:val="clear" w:pos="426"/>
              </w:tabs>
              <w:spacing w:after="0"/>
              <w:contextualSpacing/>
              <w:rPr>
                <w:rFonts w:eastAsia="Calibri"/>
              </w:rPr>
            </w:pPr>
            <w:r>
              <w:rPr>
                <w:rFonts w:eastAsia="Calibri"/>
              </w:rPr>
              <w:t>Add</w:t>
            </w:r>
            <w:r w:rsidRPr="00946E27">
              <w:rPr>
                <w:rFonts w:eastAsia="Calibri"/>
              </w:rPr>
              <w:t xml:space="preserve"> a word limit of 200 words</w:t>
            </w:r>
            <w:r>
              <w:rPr>
                <w:rFonts w:eastAsia="Calibri"/>
              </w:rPr>
              <w:t xml:space="preserve"> for public questions</w:t>
            </w:r>
            <w:r w:rsidRPr="00946E27">
              <w:rPr>
                <w:rFonts w:eastAsia="Calibri"/>
              </w:rPr>
              <w:t xml:space="preserve">. </w:t>
            </w:r>
          </w:p>
        </w:tc>
        <w:tc>
          <w:tcPr>
            <w:tcW w:w="4677" w:type="dxa"/>
          </w:tcPr>
          <w:p w:rsidR="003F0CC9" w:rsidRDefault="003F0CC9" w:rsidP="002F3FCE">
            <w:pPr>
              <w:rPr>
                <w:rFonts w:eastAsia="Calibri"/>
              </w:rPr>
            </w:pPr>
            <w:r>
              <w:rPr>
                <w:rFonts w:eastAsia="Calibri"/>
              </w:rPr>
              <w:t>T</w:t>
            </w:r>
            <w:r w:rsidRPr="007B7454">
              <w:rPr>
                <w:rFonts w:eastAsia="Calibri"/>
              </w:rPr>
              <w:t>o make a clearer distinction between public questions and public addresses</w:t>
            </w:r>
            <w:r>
              <w:rPr>
                <w:rFonts w:eastAsia="Calibri"/>
              </w:rPr>
              <w:t>.</w:t>
            </w:r>
          </w:p>
        </w:tc>
      </w:tr>
      <w:tr w:rsidR="003F0CC9" w:rsidTr="00D25AD1">
        <w:tc>
          <w:tcPr>
            <w:tcW w:w="2014" w:type="dxa"/>
          </w:tcPr>
          <w:p w:rsidR="003F0CC9" w:rsidRDefault="003F0CC9" w:rsidP="002F3FCE">
            <w:pPr>
              <w:rPr>
                <w:rFonts w:eastAsia="Calibri"/>
              </w:rPr>
            </w:pPr>
            <w:r>
              <w:rPr>
                <w:rFonts w:eastAsia="Calibri"/>
              </w:rPr>
              <w:t>Other committee procedures - General Purposes Licensing Committee 14.3</w:t>
            </w:r>
          </w:p>
        </w:tc>
        <w:tc>
          <w:tcPr>
            <w:tcW w:w="3828" w:type="dxa"/>
          </w:tcPr>
          <w:p w:rsidR="003F0CC9" w:rsidRDefault="003F0CC9" w:rsidP="003F0CC9">
            <w:pPr>
              <w:pStyle w:val="ListParagraph"/>
              <w:numPr>
                <w:ilvl w:val="0"/>
                <w:numId w:val="41"/>
              </w:numPr>
              <w:tabs>
                <w:tab w:val="clear" w:pos="426"/>
              </w:tabs>
              <w:spacing w:after="0"/>
              <w:contextualSpacing/>
              <w:rPr>
                <w:rFonts w:eastAsia="Calibri"/>
              </w:rPr>
            </w:pPr>
            <w:r>
              <w:rPr>
                <w:rFonts w:eastAsia="Calibri"/>
              </w:rPr>
              <w:t>Increase the size of the General Purposes Licensing Committee to 15 members (from 10 members).</w:t>
            </w:r>
          </w:p>
          <w:p w:rsidR="003F0CC9" w:rsidRDefault="003F0CC9" w:rsidP="003F0CC9">
            <w:pPr>
              <w:pStyle w:val="ListParagraph"/>
              <w:numPr>
                <w:ilvl w:val="0"/>
                <w:numId w:val="41"/>
              </w:numPr>
              <w:tabs>
                <w:tab w:val="clear" w:pos="426"/>
              </w:tabs>
              <w:spacing w:after="0"/>
              <w:contextualSpacing/>
              <w:rPr>
                <w:rFonts w:eastAsia="Calibri"/>
              </w:rPr>
            </w:pPr>
            <w:r>
              <w:rPr>
                <w:rFonts w:eastAsia="Calibri"/>
              </w:rPr>
              <w:t>Increase the quorum of the General Purposes Licensing Committee to 5 members (from 4 members).</w:t>
            </w:r>
          </w:p>
        </w:tc>
        <w:tc>
          <w:tcPr>
            <w:tcW w:w="4677" w:type="dxa"/>
          </w:tcPr>
          <w:p w:rsidR="003F0CC9" w:rsidRDefault="00FB57B4" w:rsidP="009B3081">
            <w:pPr>
              <w:rPr>
                <w:rFonts w:eastAsia="Calibri"/>
              </w:rPr>
            </w:pPr>
            <w:r w:rsidRPr="00FB57B4">
              <w:rPr>
                <w:rFonts w:eastAsia="Calibri"/>
              </w:rPr>
              <w:t>To provide for consistency of membership on the two licensing committees by enabling political groups to appoint the same members to both committees which meet consecutively (currently the Licensing and Gambling Acts Committee has 15 members and the General Purposes Licensing Committee has 10 members).</w:t>
            </w:r>
          </w:p>
        </w:tc>
      </w:tr>
      <w:tr w:rsidR="003F0CC9" w:rsidTr="00D25AD1">
        <w:tc>
          <w:tcPr>
            <w:tcW w:w="2014" w:type="dxa"/>
          </w:tcPr>
          <w:p w:rsidR="003F0CC9" w:rsidRDefault="003F0CC9" w:rsidP="002F3FCE">
            <w:pPr>
              <w:rPr>
                <w:rFonts w:eastAsia="Calibri"/>
              </w:rPr>
            </w:pPr>
            <w:r>
              <w:rPr>
                <w:rFonts w:eastAsia="Calibri"/>
              </w:rPr>
              <w:t>Call in procedures 17.3</w:t>
            </w:r>
          </w:p>
        </w:tc>
        <w:tc>
          <w:tcPr>
            <w:tcW w:w="3828" w:type="dxa"/>
          </w:tcPr>
          <w:p w:rsidR="003F0CC9" w:rsidRPr="00605477" w:rsidRDefault="00FB57B4" w:rsidP="00FB57B4">
            <w:pPr>
              <w:pStyle w:val="ListParagraph"/>
              <w:numPr>
                <w:ilvl w:val="0"/>
                <w:numId w:val="41"/>
              </w:numPr>
              <w:tabs>
                <w:tab w:val="clear" w:pos="426"/>
              </w:tabs>
              <w:spacing w:after="0"/>
              <w:contextualSpacing/>
              <w:rPr>
                <w:rFonts w:eastAsia="Calibri"/>
              </w:rPr>
            </w:pPr>
            <w:r w:rsidRPr="00FB57B4">
              <w:rPr>
                <w:rFonts w:eastAsia="Calibri"/>
              </w:rPr>
              <w:t>Raise the call in threshold for decisions on planning applications delegated to be taken by the Head of Planning Services from four to six councillors.</w:t>
            </w:r>
          </w:p>
        </w:tc>
        <w:tc>
          <w:tcPr>
            <w:tcW w:w="4677" w:type="dxa"/>
          </w:tcPr>
          <w:p w:rsidR="003F0CC9" w:rsidRDefault="003F0CC9" w:rsidP="002F3FCE">
            <w:pPr>
              <w:rPr>
                <w:rFonts w:eastAsia="Calibri"/>
              </w:rPr>
            </w:pPr>
            <w:r>
              <w:rPr>
                <w:rFonts w:eastAsia="Calibri"/>
              </w:rPr>
              <w:t>To help to reduce the number of applications that are called in and then subsequently agreed at committee with little or no debate. This slows down decision making and can create poor perceptions amongst groups/individuals interacting with the planning system.</w:t>
            </w:r>
          </w:p>
        </w:tc>
      </w:tr>
      <w:tr w:rsidR="00BF4DE5" w:rsidTr="00D25AD1">
        <w:tc>
          <w:tcPr>
            <w:tcW w:w="2014" w:type="dxa"/>
          </w:tcPr>
          <w:p w:rsidR="00BF4DE5" w:rsidRDefault="00BF4DE5" w:rsidP="002F3FCE">
            <w:pPr>
              <w:rPr>
                <w:rFonts w:eastAsia="Calibri"/>
              </w:rPr>
            </w:pPr>
            <w:r>
              <w:rPr>
                <w:rFonts w:eastAsia="Calibri"/>
              </w:rPr>
              <w:t>Commissioning Oxford Direct Services Limited for one off capital schemes 19.11</w:t>
            </w:r>
          </w:p>
        </w:tc>
        <w:tc>
          <w:tcPr>
            <w:tcW w:w="3828" w:type="dxa"/>
          </w:tcPr>
          <w:p w:rsidR="00BF4DE5" w:rsidRDefault="00BF4DE5" w:rsidP="00FB57B4">
            <w:pPr>
              <w:pStyle w:val="ListParagraph"/>
              <w:numPr>
                <w:ilvl w:val="0"/>
                <w:numId w:val="41"/>
              </w:numPr>
              <w:tabs>
                <w:tab w:val="clear" w:pos="426"/>
              </w:tabs>
              <w:spacing w:after="0"/>
              <w:contextualSpacing/>
              <w:rPr>
                <w:rFonts w:eastAsia="Calibri"/>
              </w:rPr>
            </w:pPr>
            <w:r>
              <w:rPr>
                <w:rFonts w:eastAsia="Calibri"/>
              </w:rPr>
              <w:t>To add a provision setting out the requirements on the Council when it commissions Oxford Direct Services Limited</w:t>
            </w:r>
          </w:p>
          <w:p w:rsidR="00CA5357" w:rsidRPr="00FB57B4" w:rsidRDefault="00CA5357" w:rsidP="00FB57B4">
            <w:pPr>
              <w:pStyle w:val="ListParagraph"/>
              <w:numPr>
                <w:ilvl w:val="0"/>
                <w:numId w:val="41"/>
              </w:numPr>
              <w:tabs>
                <w:tab w:val="clear" w:pos="426"/>
              </w:tabs>
              <w:spacing w:after="0"/>
              <w:contextualSpacing/>
              <w:rPr>
                <w:rFonts w:eastAsia="Calibri"/>
              </w:rPr>
            </w:pPr>
            <w:r>
              <w:rPr>
                <w:rFonts w:eastAsia="Calibri"/>
              </w:rPr>
              <w:t>To provide clarity</w:t>
            </w:r>
          </w:p>
        </w:tc>
        <w:tc>
          <w:tcPr>
            <w:tcW w:w="4677" w:type="dxa"/>
          </w:tcPr>
          <w:p w:rsidR="00BF4DE5" w:rsidRPr="00BF4DE5" w:rsidRDefault="00BF4DE5" w:rsidP="00BF4DE5">
            <w:pPr>
              <w:spacing w:after="0"/>
              <w:contextualSpacing/>
              <w:rPr>
                <w:rFonts w:eastAsia="Calibri" w:cs="Arial"/>
                <w:color w:val="auto"/>
              </w:rPr>
            </w:pPr>
            <w:r w:rsidRPr="00BF4DE5">
              <w:rPr>
                <w:rFonts w:eastAsia="Calibri" w:cs="Arial"/>
              </w:rPr>
              <w:t xml:space="preserve">Best Value is the duty placed on local authorities by the Local Government Act 1999 “to make arrangements to secure continuous improvement in the way in which its functions are exercised, having regard to a combination of economy, efficiency and effectiveness”. </w:t>
            </w:r>
          </w:p>
          <w:p w:rsidR="00BF4DE5" w:rsidRPr="00BF4DE5" w:rsidRDefault="00BF4DE5" w:rsidP="00BF4DE5">
            <w:pPr>
              <w:spacing w:after="0"/>
              <w:contextualSpacing/>
              <w:rPr>
                <w:rFonts w:eastAsia="Calibri" w:cs="Arial"/>
              </w:rPr>
            </w:pPr>
            <w:r w:rsidRPr="00BF4DE5">
              <w:rPr>
                <w:rFonts w:eastAsia="Calibri" w:cs="Arial"/>
              </w:rPr>
              <w:lastRenderedPageBreak/>
              <w:t xml:space="preserve">The Council consciously acknowledges that ODSL and ODSTL exist to enable the Council to discharge the Best Value Duty with the particular benefits flowing that relate to the Council’s wider responsibilities to people and place in the City of Oxford. The </w:t>
            </w:r>
            <w:r w:rsidR="009D469F">
              <w:rPr>
                <w:rFonts w:eastAsia="Calibri" w:cs="Arial"/>
              </w:rPr>
              <w:t>“Oxford Model” is based upon the</w:t>
            </w:r>
            <w:r w:rsidRPr="00BF4DE5">
              <w:rPr>
                <w:rFonts w:eastAsia="Calibri" w:cs="Arial"/>
              </w:rPr>
              <w:t xml:space="preserve"> fact that work and the income flowing from that is retained in the public purse</w:t>
            </w:r>
            <w:r>
              <w:rPr>
                <w:rFonts w:eastAsia="Calibri" w:cs="Arial"/>
              </w:rPr>
              <w:t>.</w:t>
            </w:r>
          </w:p>
          <w:p w:rsidR="00BF4DE5" w:rsidRDefault="00BF4DE5" w:rsidP="00BF4DE5">
            <w:pPr>
              <w:rPr>
                <w:rFonts w:eastAsia="Calibri"/>
              </w:rPr>
            </w:pPr>
            <w:r>
              <w:rPr>
                <w:rFonts w:eastAsia="Calibri"/>
              </w:rPr>
              <w:t>The Corporate Management Team has agreed the parameters that should apply for tenders and quotes when the Council wishes to contract with ODSL and this should be reflected in the Constitution.</w:t>
            </w:r>
          </w:p>
          <w:p w:rsidR="00BF4DE5" w:rsidRPr="00BF4DE5" w:rsidRDefault="00BF4DE5" w:rsidP="00BF4DE5">
            <w:pPr>
              <w:rPr>
                <w:rFonts w:eastAsia="Calibri"/>
              </w:rPr>
            </w:pPr>
            <w:r w:rsidRPr="00BF4DE5">
              <w:rPr>
                <w:rFonts w:eastAsia="Calibri" w:cs="Arial"/>
              </w:rPr>
              <w:t xml:space="preserve">Officers </w:t>
            </w:r>
            <w:r>
              <w:rPr>
                <w:rFonts w:eastAsia="Calibri" w:cs="Arial"/>
              </w:rPr>
              <w:t>will be authorised to</w:t>
            </w:r>
            <w:r w:rsidRPr="00BF4DE5">
              <w:rPr>
                <w:rFonts w:eastAsia="Calibri" w:cs="Arial"/>
              </w:rPr>
              <w:t xml:space="preserve"> award </w:t>
            </w:r>
            <w:r>
              <w:rPr>
                <w:rFonts w:eastAsia="Calibri" w:cs="Arial"/>
              </w:rPr>
              <w:t>a</w:t>
            </w:r>
            <w:r w:rsidRPr="00BF4DE5">
              <w:rPr>
                <w:rFonts w:eastAsia="Calibri" w:cs="Arial"/>
              </w:rPr>
              <w:t xml:space="preserve"> contract </w:t>
            </w:r>
            <w:r>
              <w:rPr>
                <w:rFonts w:eastAsia="Calibri" w:cs="Arial"/>
              </w:rPr>
              <w:t>when they consider</w:t>
            </w:r>
            <w:r w:rsidRPr="00BF4DE5">
              <w:rPr>
                <w:rFonts w:eastAsia="Calibri" w:cs="Arial"/>
              </w:rPr>
              <w:t xml:space="preserve"> that the contract award would achieve best value for the Council</w:t>
            </w:r>
            <w:r w:rsidR="00CA5357">
              <w:rPr>
                <w:rFonts w:eastAsia="Calibri" w:cs="Arial"/>
              </w:rPr>
              <w:t xml:space="preserve"> having considered the following factors:-</w:t>
            </w:r>
            <w:r w:rsidRPr="00BF4DE5">
              <w:rPr>
                <w:rFonts w:eastAsia="Calibri" w:cs="Arial"/>
              </w:rPr>
              <w:t xml:space="preserve"> </w:t>
            </w:r>
          </w:p>
          <w:p w:rsidR="00BF4DE5" w:rsidRDefault="00CA5357" w:rsidP="00CA5357">
            <w:pPr>
              <w:spacing w:after="0"/>
              <w:rPr>
                <w:rFonts w:eastAsia="Calibri" w:cs="Arial"/>
              </w:rPr>
            </w:pPr>
            <w:r>
              <w:rPr>
                <w:rFonts w:eastAsia="Calibri" w:cs="Arial"/>
              </w:rPr>
              <w:t>(</w:t>
            </w:r>
            <w:proofErr w:type="spellStart"/>
            <w:r>
              <w:rPr>
                <w:rFonts w:eastAsia="Calibri" w:cs="Arial"/>
              </w:rPr>
              <w:t>i</w:t>
            </w:r>
            <w:proofErr w:type="spellEnd"/>
            <w:r>
              <w:rPr>
                <w:rFonts w:eastAsia="Calibri" w:cs="Arial"/>
              </w:rPr>
              <w:t xml:space="preserve">) </w:t>
            </w:r>
            <w:r w:rsidR="00BF4DE5">
              <w:rPr>
                <w:rFonts w:eastAsia="Calibri" w:cs="Arial"/>
              </w:rPr>
              <w:t xml:space="preserve">the </w:t>
            </w:r>
            <w:r w:rsidR="00BF4DE5">
              <w:rPr>
                <w:rFonts w:eastAsia="Calibri" w:cs="Arial"/>
                <w:b/>
              </w:rPr>
              <w:t>capacity</w:t>
            </w:r>
            <w:r w:rsidR="00BF4DE5">
              <w:rPr>
                <w:rFonts w:eastAsia="Calibri" w:cs="Arial"/>
              </w:rPr>
              <w:t xml:space="preserve"> of the wholly owned company to deliver the Council’s intended outcomes</w:t>
            </w:r>
          </w:p>
          <w:p w:rsidR="00BF4DE5" w:rsidRDefault="00CA5357" w:rsidP="00CA5357">
            <w:pPr>
              <w:spacing w:after="0"/>
              <w:rPr>
                <w:rFonts w:eastAsia="Calibri" w:cs="Arial"/>
              </w:rPr>
            </w:pPr>
            <w:r>
              <w:rPr>
                <w:rFonts w:eastAsia="Calibri" w:cs="Arial"/>
              </w:rPr>
              <w:t>(ii)</w:t>
            </w:r>
            <w:r w:rsidR="00BF4DE5">
              <w:rPr>
                <w:rFonts w:eastAsia="Calibri" w:cs="Arial"/>
              </w:rPr>
              <w:t xml:space="preserve">any available information about the relevant </w:t>
            </w:r>
            <w:r w:rsidR="00BF4DE5">
              <w:rPr>
                <w:rFonts w:eastAsia="Calibri" w:cs="Arial"/>
                <w:b/>
              </w:rPr>
              <w:t>market conditions</w:t>
            </w:r>
            <w:r w:rsidR="00BF4DE5">
              <w:rPr>
                <w:rFonts w:eastAsia="Calibri" w:cs="Arial"/>
              </w:rPr>
              <w:t xml:space="preserve"> </w:t>
            </w:r>
          </w:p>
          <w:p w:rsidR="00BF4DE5" w:rsidRDefault="00CA5357" w:rsidP="00CA5357">
            <w:pPr>
              <w:spacing w:after="0"/>
              <w:rPr>
                <w:rFonts w:eastAsia="Calibri" w:cs="Arial"/>
              </w:rPr>
            </w:pPr>
            <w:r>
              <w:rPr>
                <w:rFonts w:eastAsia="Calibri" w:cs="Arial"/>
              </w:rPr>
              <w:t>(iii)</w:t>
            </w:r>
            <w:r w:rsidR="00BF4DE5">
              <w:rPr>
                <w:rFonts w:eastAsia="Calibri" w:cs="Arial"/>
              </w:rPr>
              <w:t xml:space="preserve">the level of any </w:t>
            </w:r>
            <w:r w:rsidR="00BF4DE5">
              <w:rPr>
                <w:rFonts w:eastAsia="Calibri" w:cs="Arial"/>
                <w:b/>
              </w:rPr>
              <w:t>financial premium</w:t>
            </w:r>
            <w:r w:rsidR="00BF4DE5">
              <w:rPr>
                <w:rFonts w:eastAsia="Calibri" w:cs="Arial"/>
              </w:rPr>
              <w:t xml:space="preserve"> over expected market prices</w:t>
            </w:r>
          </w:p>
          <w:p w:rsidR="00BF4DE5" w:rsidRDefault="00CA5357" w:rsidP="00CA5357">
            <w:pPr>
              <w:spacing w:after="0"/>
              <w:rPr>
                <w:rFonts w:eastAsia="Calibri" w:cs="Arial"/>
              </w:rPr>
            </w:pPr>
            <w:r>
              <w:rPr>
                <w:rFonts w:eastAsia="Calibri" w:cs="Arial"/>
              </w:rPr>
              <w:t>(iv)</w:t>
            </w:r>
            <w:r w:rsidR="00BF4DE5">
              <w:rPr>
                <w:rFonts w:eastAsia="Calibri" w:cs="Arial"/>
              </w:rPr>
              <w:t xml:space="preserve">the </w:t>
            </w:r>
            <w:r w:rsidR="00BF4DE5">
              <w:rPr>
                <w:rFonts w:eastAsia="Calibri" w:cs="Arial"/>
                <w:b/>
              </w:rPr>
              <w:t>social value</w:t>
            </w:r>
            <w:r w:rsidR="00BF4DE5">
              <w:rPr>
                <w:rFonts w:eastAsia="Calibri" w:cs="Arial"/>
              </w:rPr>
              <w:t xml:space="preserve"> that could be supported by awarding the contract to ODSL over and above other pr</w:t>
            </w:r>
            <w:r>
              <w:rPr>
                <w:rFonts w:eastAsia="Calibri" w:cs="Arial"/>
              </w:rPr>
              <w:t xml:space="preserve">oviders (e.g. local employment, </w:t>
            </w:r>
            <w:r w:rsidR="00BF4DE5">
              <w:rPr>
                <w:rFonts w:eastAsia="Calibri" w:cs="Arial"/>
              </w:rPr>
              <w:t>apprenticeships and any other aspects of social value identified by the Council as its social value policy matures.)</w:t>
            </w:r>
          </w:p>
          <w:p w:rsidR="00BF4DE5" w:rsidRDefault="00CA5357" w:rsidP="00CA5357">
            <w:pPr>
              <w:spacing w:after="0"/>
              <w:rPr>
                <w:rFonts w:eastAsia="Calibri" w:cs="Arial"/>
              </w:rPr>
            </w:pPr>
            <w:r>
              <w:rPr>
                <w:rFonts w:eastAsia="Calibri" w:cs="Arial"/>
              </w:rPr>
              <w:t>(v)</w:t>
            </w:r>
            <w:r w:rsidR="00BF4DE5">
              <w:rPr>
                <w:rFonts w:eastAsia="Calibri" w:cs="Arial"/>
              </w:rPr>
              <w:t xml:space="preserve">the </w:t>
            </w:r>
            <w:r w:rsidR="00BF4DE5">
              <w:rPr>
                <w:rFonts w:eastAsia="Calibri" w:cs="Arial"/>
                <w:b/>
              </w:rPr>
              <w:t>Council’s strategic aim</w:t>
            </w:r>
            <w:r w:rsidR="00BF4DE5">
              <w:rPr>
                <w:rFonts w:eastAsia="Calibri" w:cs="Arial"/>
              </w:rPr>
              <w:t xml:space="preserve"> of developing the company to return long term value back to the Council</w:t>
            </w:r>
          </w:p>
          <w:p w:rsidR="00BF4DE5" w:rsidRDefault="00CA5357" w:rsidP="00CA5357">
            <w:pPr>
              <w:spacing w:after="0"/>
              <w:rPr>
                <w:rFonts w:eastAsia="Calibri"/>
              </w:rPr>
            </w:pPr>
            <w:r>
              <w:rPr>
                <w:rFonts w:eastAsia="Calibri" w:cs="Arial"/>
              </w:rPr>
              <w:t>(vi)</w:t>
            </w:r>
            <w:r w:rsidR="00BF4DE5">
              <w:rPr>
                <w:rFonts w:eastAsia="Calibri" w:cs="Arial"/>
              </w:rPr>
              <w:t xml:space="preserve">the extent of and arrangements for any </w:t>
            </w:r>
            <w:r w:rsidR="00BF4DE5">
              <w:rPr>
                <w:rFonts w:eastAsia="Calibri" w:cs="Arial"/>
                <w:b/>
              </w:rPr>
              <w:t>subcontracting</w:t>
            </w:r>
          </w:p>
        </w:tc>
      </w:tr>
    </w:tbl>
    <w:p w:rsidR="00555AFA" w:rsidRPr="00555AFA" w:rsidRDefault="00555AFA" w:rsidP="00555AFA">
      <w:pPr>
        <w:pStyle w:val="bParagraphtext"/>
        <w:spacing w:after="0"/>
        <w:ind w:left="360"/>
        <w:rPr>
          <w:rStyle w:val="ListParagraphChar"/>
        </w:rPr>
      </w:pPr>
    </w:p>
    <w:p w:rsidR="00C63C3B" w:rsidRPr="00D23FCA" w:rsidRDefault="00C63C3B" w:rsidP="008A5929">
      <w:pPr>
        <w:pStyle w:val="ListParagraph"/>
        <w:numPr>
          <w:ilvl w:val="0"/>
          <w:numId w:val="34"/>
        </w:numPr>
        <w:spacing w:after="0"/>
      </w:pPr>
      <w:r w:rsidRPr="00D23FCA">
        <w:t xml:space="preserve">Since </w:t>
      </w:r>
      <w:r w:rsidR="007A2E34" w:rsidRPr="00D23FCA">
        <w:t>consideration of the proposals by political groups</w:t>
      </w:r>
      <w:r w:rsidRPr="00D23FCA">
        <w:t xml:space="preserve"> a further amendment has been proposed to Part 3.7 to </w:t>
      </w:r>
      <w:r w:rsidR="007A2E34" w:rsidRPr="00D23FCA">
        <w:t>clarify</w:t>
      </w:r>
      <w:r w:rsidRPr="00D23FCA">
        <w:t xml:space="preserve"> that the Chief Executive</w:t>
      </w:r>
      <w:r w:rsidR="00E87A20" w:rsidRPr="00D23FCA">
        <w:t>,</w:t>
      </w:r>
      <w:r w:rsidRPr="00D23FCA">
        <w:t xml:space="preserve"> </w:t>
      </w:r>
      <w:r w:rsidR="007A2E34" w:rsidRPr="00D23FCA">
        <w:t xml:space="preserve">or an Executive Director nominated by the Chief Executive, </w:t>
      </w:r>
      <w:r w:rsidR="00D23FCA" w:rsidRPr="00D23FCA">
        <w:t>will</w:t>
      </w:r>
      <w:r w:rsidRPr="00D23FCA">
        <w:t xml:space="preserve"> advis</w:t>
      </w:r>
      <w:r w:rsidR="00D23FCA" w:rsidRPr="00D23FCA">
        <w:t>e</w:t>
      </w:r>
      <w:r w:rsidRPr="00D23FCA">
        <w:t xml:space="preserve"> the Sharehold</w:t>
      </w:r>
      <w:r w:rsidR="00B918CC" w:rsidRPr="00D23FCA">
        <w:t>er</w:t>
      </w:r>
      <w:r w:rsidRPr="00D23FCA">
        <w:t xml:space="preserve"> and Joint Venture Group</w:t>
      </w:r>
      <w:r w:rsidR="00D23FCA" w:rsidRPr="00D23FCA">
        <w:t xml:space="preserve"> on matters of policy</w:t>
      </w:r>
      <w:r w:rsidR="007A2E34" w:rsidRPr="00D23FCA">
        <w:t>. This is in addition to the Chief Finance Officer and Monitoring</w:t>
      </w:r>
      <w:r w:rsidRPr="00D23FCA">
        <w:t xml:space="preserve"> </w:t>
      </w:r>
      <w:r w:rsidR="007A2E34" w:rsidRPr="00D23FCA">
        <w:t>Officer acting as advisors to the Sharehold</w:t>
      </w:r>
      <w:r w:rsidR="00B918CC" w:rsidRPr="00D23FCA">
        <w:t>er</w:t>
      </w:r>
      <w:r w:rsidR="007A2E34" w:rsidRPr="00D23FCA">
        <w:t xml:space="preserve"> and Joint Venture Group</w:t>
      </w:r>
      <w:r w:rsidRPr="00D23FCA">
        <w:t>.</w:t>
      </w:r>
    </w:p>
    <w:p w:rsidR="00C63C3B" w:rsidRDefault="00C63C3B" w:rsidP="00C63C3B">
      <w:pPr>
        <w:spacing w:after="0"/>
      </w:pPr>
    </w:p>
    <w:p w:rsidR="008A5929" w:rsidRDefault="008A5929" w:rsidP="008A5929">
      <w:pPr>
        <w:pStyle w:val="ListParagraph"/>
        <w:numPr>
          <w:ilvl w:val="0"/>
          <w:numId w:val="34"/>
        </w:numPr>
        <w:spacing w:after="0"/>
      </w:pPr>
      <w:r w:rsidRPr="003F158B">
        <w:t xml:space="preserve">Council is asked to approve the proposed amendments and to delegate authority to the Head of Law and Governance to make any other amendments necessary to </w:t>
      </w:r>
      <w:r w:rsidRPr="003F158B">
        <w:lastRenderedPageBreak/>
        <w:t xml:space="preserve">ensure consistency throughout the Constitution, subsequent to the changes approved by Council. </w:t>
      </w:r>
    </w:p>
    <w:p w:rsidR="00FB57B4" w:rsidRDefault="00FB57B4" w:rsidP="00FB0487">
      <w:pPr>
        <w:pStyle w:val="bParagraphtext"/>
        <w:rPr>
          <w:rStyle w:val="ListParagraphChar"/>
          <w:b/>
        </w:rPr>
      </w:pPr>
    </w:p>
    <w:p w:rsidR="007B47A7" w:rsidRPr="007B47A7" w:rsidRDefault="007B47A7" w:rsidP="00FB0487">
      <w:pPr>
        <w:pStyle w:val="bParagraphtext"/>
        <w:rPr>
          <w:rStyle w:val="ListParagraphChar"/>
          <w:b/>
        </w:rPr>
      </w:pPr>
      <w:r>
        <w:rPr>
          <w:rStyle w:val="ListParagraphChar"/>
          <w:b/>
        </w:rPr>
        <w:t>Monitoring Officer’s use of delegated authority</w:t>
      </w:r>
    </w:p>
    <w:p w:rsidR="00DD068B" w:rsidRPr="00DD068B" w:rsidRDefault="00DD068B" w:rsidP="00D6291F">
      <w:pPr>
        <w:pStyle w:val="ListParagraph"/>
        <w:numPr>
          <w:ilvl w:val="0"/>
          <w:numId w:val="34"/>
        </w:numPr>
        <w:tabs>
          <w:tab w:val="clear" w:pos="426"/>
        </w:tabs>
        <w:spacing w:after="0"/>
        <w:ind w:left="567" w:hanging="567"/>
        <w:contextualSpacing/>
        <w:rPr>
          <w:rStyle w:val="ListParagraphChar"/>
        </w:rPr>
      </w:pPr>
      <w:r>
        <w:rPr>
          <w:rStyle w:val="ListParagraphChar"/>
          <w:color w:val="auto"/>
        </w:rPr>
        <w:t xml:space="preserve">Appendix 1 sets out the </w:t>
      </w:r>
      <w:r w:rsidR="00E715C7" w:rsidRPr="00D6291F">
        <w:rPr>
          <w:rStyle w:val="ListParagraphChar"/>
          <w:color w:val="auto"/>
        </w:rPr>
        <w:t xml:space="preserve">proposed </w:t>
      </w:r>
      <w:r w:rsidR="00997B37">
        <w:rPr>
          <w:rStyle w:val="ListParagraphChar"/>
          <w:color w:val="auto"/>
        </w:rPr>
        <w:t xml:space="preserve">amendments </w:t>
      </w:r>
      <w:r>
        <w:rPr>
          <w:rStyle w:val="ListParagraphChar"/>
          <w:color w:val="auto"/>
        </w:rPr>
        <w:t xml:space="preserve">that the Monitoring will make using her delegated authority </w:t>
      </w:r>
      <w:r w:rsidRPr="00D6291F">
        <w:rPr>
          <w:rStyle w:val="ListParagraphChar"/>
          <w:color w:val="auto"/>
        </w:rPr>
        <w:t>(in accordance with Part 2.5 of the Constitution</w:t>
      </w:r>
      <w:r>
        <w:rPr>
          <w:rStyle w:val="ListParagraphChar"/>
          <w:color w:val="auto"/>
        </w:rPr>
        <w:t xml:space="preserve"> which states that the Monitoring Officer can change the Constitution if it is to put right clerical mistakes or to make it follow the law</w:t>
      </w:r>
      <w:r w:rsidRPr="00D6291F">
        <w:rPr>
          <w:rStyle w:val="ListParagraphChar"/>
          <w:color w:val="auto"/>
        </w:rPr>
        <w:t>)</w:t>
      </w:r>
      <w:r>
        <w:rPr>
          <w:rStyle w:val="ListParagraphChar"/>
          <w:color w:val="auto"/>
        </w:rPr>
        <w:t xml:space="preserve">. </w:t>
      </w:r>
    </w:p>
    <w:p w:rsidR="00DD068B" w:rsidRDefault="00DD068B" w:rsidP="00DD068B">
      <w:pPr>
        <w:spacing w:after="0"/>
        <w:contextualSpacing/>
        <w:rPr>
          <w:rStyle w:val="ListParagraphChar"/>
        </w:rPr>
      </w:pPr>
    </w:p>
    <w:p w:rsidR="00D6291F" w:rsidRDefault="00DD068B" w:rsidP="00D6291F">
      <w:pPr>
        <w:pStyle w:val="ListParagraph"/>
        <w:numPr>
          <w:ilvl w:val="0"/>
          <w:numId w:val="34"/>
        </w:numPr>
        <w:tabs>
          <w:tab w:val="clear" w:pos="426"/>
        </w:tabs>
        <w:spacing w:after="0"/>
        <w:ind w:left="567" w:hanging="567"/>
        <w:contextualSpacing/>
      </w:pPr>
      <w:r>
        <w:rPr>
          <w:rStyle w:val="ListParagraphChar"/>
          <w:color w:val="auto"/>
        </w:rPr>
        <w:t>In addition to t</w:t>
      </w:r>
      <w:r w:rsidR="00997B37">
        <w:rPr>
          <w:rStyle w:val="ListParagraphChar"/>
          <w:color w:val="auto"/>
        </w:rPr>
        <w:t xml:space="preserve">hose amendments the </w:t>
      </w:r>
      <w:r w:rsidR="00E715C7" w:rsidRPr="00D6291F">
        <w:rPr>
          <w:rStyle w:val="ListParagraphChar"/>
          <w:color w:val="auto"/>
        </w:rPr>
        <w:t xml:space="preserve">Monitoring Officer </w:t>
      </w:r>
      <w:r>
        <w:rPr>
          <w:rStyle w:val="ListParagraphChar"/>
          <w:color w:val="auto"/>
        </w:rPr>
        <w:t>has used her</w:t>
      </w:r>
      <w:r w:rsidR="00E715C7" w:rsidRPr="00D6291F">
        <w:rPr>
          <w:rStyle w:val="ListParagraphChar"/>
          <w:color w:val="auto"/>
        </w:rPr>
        <w:t xml:space="preserve"> delegated authority</w:t>
      </w:r>
      <w:r w:rsidR="00C51932" w:rsidRPr="00D6291F">
        <w:rPr>
          <w:rStyle w:val="ListParagraphChar"/>
          <w:color w:val="auto"/>
        </w:rPr>
        <w:t xml:space="preserve"> </w:t>
      </w:r>
      <w:r w:rsidR="00E715C7" w:rsidRPr="00E715C7">
        <w:rPr>
          <w:rStyle w:val="ListParagraphChar"/>
        </w:rPr>
        <w:t xml:space="preserve">to make any changes necessary to ensure the Constitution continues to reflect the law, </w:t>
      </w:r>
      <w:r w:rsidR="000E2EB7">
        <w:rPr>
          <w:rStyle w:val="ListParagraphChar"/>
        </w:rPr>
        <w:t xml:space="preserve">revise job titles </w:t>
      </w:r>
      <w:r w:rsidR="00E715C7" w:rsidRPr="00E715C7">
        <w:rPr>
          <w:rStyle w:val="ListParagraphChar"/>
        </w:rPr>
        <w:t xml:space="preserve">and to correct clerical mistakes and inconsistencies.  </w:t>
      </w:r>
      <w:r w:rsidR="00D6291F">
        <w:t>These changes included, but were not limited to:</w:t>
      </w:r>
    </w:p>
    <w:p w:rsidR="00DD068B" w:rsidRDefault="00DD068B" w:rsidP="00DD068B">
      <w:pPr>
        <w:spacing w:after="0"/>
        <w:contextualSpacing/>
      </w:pPr>
    </w:p>
    <w:p w:rsidR="00D6291F" w:rsidRDefault="00D6291F" w:rsidP="00D6291F">
      <w:pPr>
        <w:pStyle w:val="ListParagraph"/>
        <w:numPr>
          <w:ilvl w:val="1"/>
          <w:numId w:val="37"/>
        </w:numPr>
        <w:tabs>
          <w:tab w:val="clear" w:pos="426"/>
        </w:tabs>
        <w:spacing w:after="0"/>
        <w:ind w:left="1434" w:hanging="357"/>
      </w:pPr>
      <w:r>
        <w:t>standardisation on cross referencing to include Part and paragraph numbers in brackets</w:t>
      </w:r>
      <w:r w:rsidR="00C73D6B">
        <w:t>;</w:t>
      </w:r>
      <w:r>
        <w:t xml:space="preserve"> </w:t>
      </w:r>
    </w:p>
    <w:p w:rsidR="00D6291F" w:rsidRDefault="00D6291F" w:rsidP="00D6291F">
      <w:pPr>
        <w:pStyle w:val="ListParagraph"/>
        <w:numPr>
          <w:ilvl w:val="1"/>
          <w:numId w:val="37"/>
        </w:numPr>
        <w:tabs>
          <w:tab w:val="clear" w:pos="426"/>
        </w:tabs>
        <w:spacing w:after="0"/>
        <w:ind w:left="1434" w:hanging="357"/>
      </w:pPr>
      <w:r>
        <w:t>standardisation on email addresses and other active web links</w:t>
      </w:r>
      <w:r w:rsidR="00C73D6B">
        <w:t>; and</w:t>
      </w:r>
    </w:p>
    <w:p w:rsidR="00C73D6B" w:rsidRDefault="00D6291F" w:rsidP="00C73D6B">
      <w:pPr>
        <w:pStyle w:val="ListParagraph"/>
        <w:numPr>
          <w:ilvl w:val="1"/>
          <w:numId w:val="37"/>
        </w:numPr>
        <w:tabs>
          <w:tab w:val="clear" w:pos="426"/>
        </w:tabs>
        <w:ind w:left="1434" w:hanging="357"/>
      </w:pPr>
      <w:r>
        <w:t xml:space="preserve">deletion of </w:t>
      </w:r>
      <w:r w:rsidRPr="00996E57">
        <w:rPr>
          <w:i/>
        </w:rPr>
        <w:t>“Section”</w:t>
      </w:r>
      <w:r>
        <w:t xml:space="preserve"> and replacement with </w:t>
      </w:r>
      <w:r w:rsidRPr="00996E57">
        <w:rPr>
          <w:i/>
        </w:rPr>
        <w:t>“Part”</w:t>
      </w:r>
    </w:p>
    <w:p w:rsidR="00C73D6B" w:rsidRDefault="00C73D6B" w:rsidP="00C95E1A">
      <w:pPr>
        <w:pStyle w:val="ListParagraph"/>
        <w:numPr>
          <w:ilvl w:val="0"/>
          <w:numId w:val="34"/>
        </w:numPr>
        <w:tabs>
          <w:tab w:val="clear" w:pos="426"/>
        </w:tabs>
        <w:ind w:left="567" w:hanging="567"/>
        <w:rPr>
          <w:color w:val="auto"/>
        </w:rPr>
      </w:pPr>
      <w:r>
        <w:rPr>
          <w:color w:val="auto"/>
        </w:rPr>
        <w:t xml:space="preserve">The more substantive changes that have been made by the Monitoring Officer under her delegated powers are set out in </w:t>
      </w:r>
      <w:r w:rsidR="00D84C7A">
        <w:rPr>
          <w:color w:val="auto"/>
        </w:rPr>
        <w:t xml:space="preserve">a list and attached as </w:t>
      </w:r>
      <w:r>
        <w:rPr>
          <w:color w:val="auto"/>
        </w:rPr>
        <w:t>Appendix 1.</w:t>
      </w:r>
    </w:p>
    <w:p w:rsidR="00D6291F" w:rsidRPr="00D6291F" w:rsidRDefault="00C73D6B" w:rsidP="00FB57B4">
      <w:pPr>
        <w:pStyle w:val="ListParagraph"/>
        <w:numPr>
          <w:ilvl w:val="0"/>
          <w:numId w:val="34"/>
        </w:numPr>
        <w:tabs>
          <w:tab w:val="clear" w:pos="426"/>
        </w:tabs>
        <w:ind w:left="567" w:hanging="567"/>
        <w:rPr>
          <w:color w:val="auto"/>
        </w:rPr>
      </w:pPr>
      <w:r>
        <w:rPr>
          <w:color w:val="auto"/>
        </w:rPr>
        <w:t>T</w:t>
      </w:r>
      <w:r w:rsidR="008A5929">
        <w:rPr>
          <w:color w:val="auto"/>
        </w:rPr>
        <w:t xml:space="preserve">he format of the Constitution has </w:t>
      </w:r>
      <w:r>
        <w:rPr>
          <w:color w:val="auto"/>
        </w:rPr>
        <w:t xml:space="preserve">also </w:t>
      </w:r>
      <w:r w:rsidR="008A5929">
        <w:rPr>
          <w:color w:val="auto"/>
        </w:rPr>
        <w:t>been revised</w:t>
      </w:r>
      <w:r w:rsidR="00D6291F" w:rsidRPr="00D6291F">
        <w:rPr>
          <w:color w:val="auto"/>
        </w:rPr>
        <w:t xml:space="preserve"> to give it a more professional look which clearly identifies it as the Constitution of Oxford City Council and to include a revision date for version control. </w:t>
      </w:r>
      <w:r w:rsidR="00DC51F0" w:rsidRPr="00DC51F0">
        <w:rPr>
          <w:color w:val="auto"/>
        </w:rPr>
        <w:t>The</w:t>
      </w:r>
      <w:r w:rsidR="00D6291F" w:rsidRPr="00DC51F0">
        <w:rPr>
          <w:color w:val="auto"/>
        </w:rPr>
        <w:t xml:space="preserve"> Constitution </w:t>
      </w:r>
      <w:r w:rsidR="00FB57B4" w:rsidRPr="00FB57B4">
        <w:rPr>
          <w:color w:val="auto"/>
        </w:rPr>
        <w:t xml:space="preserve">including the proposed amendments </w:t>
      </w:r>
      <w:r w:rsidR="00DC51F0" w:rsidRPr="00DC51F0">
        <w:rPr>
          <w:color w:val="auto"/>
        </w:rPr>
        <w:t>is presented</w:t>
      </w:r>
      <w:r>
        <w:rPr>
          <w:color w:val="auto"/>
        </w:rPr>
        <w:t xml:space="preserve"> in the new format in Appendix 3</w:t>
      </w:r>
      <w:r w:rsidR="00D6291F" w:rsidRPr="00DC51F0">
        <w:rPr>
          <w:color w:val="auto"/>
        </w:rPr>
        <w:t>.</w:t>
      </w:r>
      <w:r w:rsidR="00D6291F" w:rsidRPr="00D6291F">
        <w:rPr>
          <w:color w:val="auto"/>
        </w:rPr>
        <w:t xml:space="preserve"> </w:t>
      </w:r>
    </w:p>
    <w:p w:rsidR="00D6291F" w:rsidRDefault="00D6291F" w:rsidP="00C95E1A">
      <w:pPr>
        <w:pStyle w:val="ListParagraph"/>
        <w:numPr>
          <w:ilvl w:val="0"/>
          <w:numId w:val="34"/>
        </w:numPr>
        <w:tabs>
          <w:tab w:val="clear" w:pos="426"/>
        </w:tabs>
        <w:ind w:left="567" w:hanging="567"/>
      </w:pPr>
      <w:r>
        <w:t xml:space="preserve">This </w:t>
      </w:r>
      <w:r w:rsidR="00C95E1A">
        <w:t>new</w:t>
      </w:r>
      <w:r>
        <w:t xml:space="preserve"> format will make it easier to </w:t>
      </w:r>
      <w:r w:rsidR="00C73D6B">
        <w:t>reflect decisions to revise</w:t>
      </w:r>
      <w:r>
        <w:t xml:space="preserve"> the Constitution in the future as it will allow officers to </w:t>
      </w:r>
      <w:r w:rsidR="00513B54">
        <w:t>effect</w:t>
      </w:r>
      <w:r>
        <w:t xml:space="preserve"> changes to individual Parts without impacting the </w:t>
      </w:r>
      <w:r w:rsidR="00C95E1A">
        <w:t>flow</w:t>
      </w:r>
      <w:r>
        <w:t xml:space="preserve"> of the document as a whole.  It will also make it easier for individuals using the Constitution to identify which Parts have been updated and to view the document as a whole or quickly access any of the individual Parts.</w:t>
      </w:r>
    </w:p>
    <w:p w:rsidR="006B2AD0" w:rsidRDefault="006B2AD0" w:rsidP="00D6291F">
      <w:pPr>
        <w:pStyle w:val="ListParagraph"/>
        <w:numPr>
          <w:ilvl w:val="0"/>
          <w:numId w:val="34"/>
        </w:numPr>
        <w:tabs>
          <w:tab w:val="clear" w:pos="426"/>
        </w:tabs>
        <w:spacing w:after="0"/>
        <w:ind w:left="567" w:hanging="567"/>
        <w:rPr>
          <w:rStyle w:val="ListParagraphChar"/>
        </w:rPr>
      </w:pPr>
      <w:r>
        <w:rPr>
          <w:rStyle w:val="ListParagraphChar"/>
        </w:rPr>
        <w:t>The table below list</w:t>
      </w:r>
      <w:r w:rsidR="00DC51F0">
        <w:rPr>
          <w:rStyle w:val="ListParagraphChar"/>
        </w:rPr>
        <w:t>s</w:t>
      </w:r>
      <w:r>
        <w:rPr>
          <w:rStyle w:val="ListParagraphChar"/>
        </w:rPr>
        <w:t xml:space="preserve"> those Parts of the Constitution which have not changed since the last publication:</w:t>
      </w:r>
    </w:p>
    <w:tbl>
      <w:tblPr>
        <w:tblpPr w:leftFromText="180" w:rightFromText="180" w:vertAnchor="text" w:horzAnchor="margin" w:tblpXSpec="center"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633"/>
      </w:tblGrid>
      <w:tr w:rsidR="00892591" w:rsidRPr="00892591" w:rsidTr="003530FF">
        <w:trPr>
          <w:trHeight w:val="472"/>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b/>
                <w:color w:val="auto"/>
                <w:lang w:eastAsia="en-US"/>
              </w:rPr>
            </w:pPr>
            <w:r w:rsidRPr="00D84C7A">
              <w:rPr>
                <w:b/>
                <w:color w:val="auto"/>
              </w:rPr>
              <w:t>Part</w:t>
            </w:r>
          </w:p>
        </w:tc>
      </w:tr>
      <w:tr w:rsidR="00892591"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lang w:eastAsia="en-US"/>
              </w:rPr>
            </w:pPr>
            <w:r w:rsidRPr="00D84C7A">
              <w:rPr>
                <w:color w:val="auto"/>
              </w:rPr>
              <w:t>Part 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lang w:eastAsia="en-US"/>
              </w:rPr>
            </w:pPr>
            <w:r w:rsidRPr="00D84C7A">
              <w:rPr>
                <w:color w:val="auto"/>
              </w:rPr>
              <w:t>Citizens’ rights and other basic rules</w:t>
            </w:r>
          </w:p>
        </w:tc>
      </w:tr>
      <w:tr w:rsidR="00892591"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bCs/>
                <w:color w:val="auto"/>
                <w:lang w:eastAsia="en-US"/>
              </w:rPr>
            </w:pPr>
            <w:r w:rsidRPr="00D84C7A">
              <w:rPr>
                <w:bCs/>
                <w:color w:val="auto"/>
              </w:rPr>
              <w:t>Part 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lang w:eastAsia="en-US"/>
              </w:rPr>
            </w:pPr>
            <w:r w:rsidRPr="00D84C7A">
              <w:rPr>
                <w:color w:val="auto"/>
              </w:rPr>
              <w:t>About the Constitution</w:t>
            </w:r>
          </w:p>
        </w:tc>
      </w:tr>
      <w:tr w:rsidR="00892591"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bCs/>
                <w:color w:val="auto"/>
                <w:lang w:eastAsia="en-US"/>
              </w:rPr>
            </w:pPr>
            <w:r w:rsidRPr="00D84C7A">
              <w:rPr>
                <w:bCs/>
                <w:color w:val="auto"/>
              </w:rPr>
              <w:t>Part 6</w:t>
            </w:r>
          </w:p>
        </w:tc>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lang w:eastAsia="en-US"/>
              </w:rPr>
            </w:pPr>
            <w:r w:rsidRPr="00D84C7A">
              <w:rPr>
                <w:color w:val="auto"/>
              </w:rPr>
              <w:t>Role of Cabinet Members</w:t>
            </w:r>
          </w:p>
        </w:tc>
      </w:tr>
      <w:tr w:rsidR="00892591"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bCs/>
                <w:color w:val="auto"/>
                <w:lang w:eastAsia="en-US"/>
              </w:rPr>
            </w:pPr>
            <w:r w:rsidRPr="00D84C7A">
              <w:rPr>
                <w:bCs/>
                <w:color w:val="auto"/>
              </w:rPr>
              <w:t>Part 8</w:t>
            </w:r>
          </w:p>
        </w:tc>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bCs/>
                <w:color w:val="auto"/>
                <w:lang w:eastAsia="en-US"/>
              </w:rPr>
            </w:pPr>
            <w:r w:rsidRPr="00D84C7A">
              <w:rPr>
                <w:bCs/>
                <w:color w:val="auto"/>
              </w:rPr>
              <w:t>Role of the Scrutiny Committee</w:t>
            </w:r>
          </w:p>
        </w:tc>
      </w:tr>
      <w:tr w:rsidR="003530FF"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bCs/>
                <w:color w:val="auto"/>
              </w:rPr>
            </w:pPr>
            <w:r>
              <w:rPr>
                <w:bCs/>
                <w:color w:val="auto"/>
              </w:rPr>
              <w:t>Part 10</w:t>
            </w:r>
          </w:p>
        </w:tc>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color w:val="auto"/>
              </w:rPr>
            </w:pPr>
            <w:r>
              <w:rPr>
                <w:color w:val="auto"/>
              </w:rPr>
              <w:t>Proper Officers</w:t>
            </w:r>
          </w:p>
        </w:tc>
      </w:tr>
      <w:tr w:rsidR="00892591"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bCs/>
                <w:color w:val="auto"/>
                <w:lang w:eastAsia="en-US"/>
              </w:rPr>
            </w:pPr>
            <w:r w:rsidRPr="00D84C7A">
              <w:rPr>
                <w:bCs/>
                <w:color w:val="auto"/>
              </w:rPr>
              <w:t>Part 12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lang w:eastAsia="en-US"/>
              </w:rPr>
            </w:pPr>
            <w:r w:rsidRPr="00D84C7A">
              <w:rPr>
                <w:color w:val="auto"/>
              </w:rPr>
              <w:t>Cabinet procedures</w:t>
            </w:r>
          </w:p>
        </w:tc>
      </w:tr>
      <w:tr w:rsidR="003530FF"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bCs/>
                <w:color w:val="auto"/>
              </w:rPr>
            </w:pPr>
            <w:r>
              <w:rPr>
                <w:bCs/>
                <w:color w:val="auto"/>
              </w:rPr>
              <w:t>Part 13</w:t>
            </w:r>
          </w:p>
        </w:tc>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bCs/>
                <w:color w:val="auto"/>
              </w:rPr>
            </w:pPr>
            <w:r>
              <w:rPr>
                <w:bCs/>
                <w:color w:val="auto"/>
              </w:rPr>
              <w:t>Scrutiny Committee Procedures</w:t>
            </w:r>
          </w:p>
        </w:tc>
      </w:tr>
      <w:tr w:rsidR="00892591"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bCs/>
                <w:color w:val="auto"/>
                <w:lang w:eastAsia="en-US"/>
              </w:rPr>
            </w:pPr>
            <w:r w:rsidRPr="00D84C7A">
              <w:rPr>
                <w:bCs/>
                <w:color w:val="auto"/>
              </w:rPr>
              <w:t>Part 15</w:t>
            </w:r>
          </w:p>
        </w:tc>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bCs/>
                <w:color w:val="auto"/>
                <w:lang w:eastAsia="en-US"/>
              </w:rPr>
            </w:pPr>
            <w:r w:rsidRPr="00D84C7A">
              <w:rPr>
                <w:bCs/>
                <w:color w:val="auto"/>
              </w:rPr>
              <w:t>Access to information and key decision procedures</w:t>
            </w:r>
          </w:p>
        </w:tc>
      </w:tr>
      <w:tr w:rsidR="003530FF"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color w:val="auto"/>
                <w:sz w:val="23"/>
                <w:szCs w:val="23"/>
              </w:rPr>
            </w:pPr>
            <w:r>
              <w:rPr>
                <w:color w:val="auto"/>
                <w:sz w:val="23"/>
                <w:szCs w:val="23"/>
              </w:rPr>
              <w:lastRenderedPageBreak/>
              <w:t>Part 16</w:t>
            </w:r>
          </w:p>
        </w:tc>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color w:val="auto"/>
              </w:rPr>
            </w:pPr>
            <w:r>
              <w:rPr>
                <w:color w:val="auto"/>
              </w:rPr>
              <w:t>Budget and Policy Framework Procedures</w:t>
            </w:r>
          </w:p>
        </w:tc>
      </w:tr>
      <w:tr w:rsidR="003530FF"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color w:val="auto"/>
                <w:sz w:val="23"/>
                <w:szCs w:val="23"/>
              </w:rPr>
            </w:pPr>
            <w:r>
              <w:rPr>
                <w:color w:val="auto"/>
                <w:sz w:val="23"/>
                <w:szCs w:val="23"/>
              </w:rPr>
              <w:t>Part 20</w:t>
            </w:r>
          </w:p>
        </w:tc>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color w:val="auto"/>
              </w:rPr>
            </w:pPr>
            <w:r>
              <w:rPr>
                <w:color w:val="auto"/>
              </w:rPr>
              <w:t>Employment Rules</w:t>
            </w:r>
          </w:p>
        </w:tc>
      </w:tr>
      <w:tr w:rsidR="00892591"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sz w:val="23"/>
                <w:szCs w:val="23"/>
                <w:lang w:eastAsia="en-US"/>
              </w:rPr>
            </w:pPr>
            <w:r w:rsidRPr="00D84C7A">
              <w:rPr>
                <w:color w:val="auto"/>
                <w:sz w:val="23"/>
                <w:szCs w:val="23"/>
              </w:rPr>
              <w:t>Part 22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sz w:val="23"/>
                <w:szCs w:val="23"/>
                <w:lang w:eastAsia="en-US"/>
              </w:rPr>
            </w:pPr>
            <w:r w:rsidRPr="00D84C7A">
              <w:rPr>
                <w:color w:val="auto"/>
              </w:rPr>
              <w:t>Members’ Code of Conduct</w:t>
            </w:r>
          </w:p>
        </w:tc>
      </w:tr>
      <w:tr w:rsidR="00892591"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sz w:val="23"/>
                <w:szCs w:val="23"/>
                <w:lang w:eastAsia="en-US"/>
              </w:rPr>
            </w:pPr>
            <w:r w:rsidRPr="00D84C7A">
              <w:rPr>
                <w:color w:val="auto"/>
                <w:sz w:val="23"/>
                <w:szCs w:val="23"/>
              </w:rPr>
              <w:t>Part 23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lang w:eastAsia="en-US"/>
              </w:rPr>
            </w:pPr>
            <w:r w:rsidRPr="00D84C7A">
              <w:rPr>
                <w:color w:val="auto"/>
              </w:rPr>
              <w:t>Code on councillor-officer relations</w:t>
            </w:r>
          </w:p>
        </w:tc>
      </w:tr>
      <w:tr w:rsidR="00892591"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sz w:val="23"/>
                <w:szCs w:val="23"/>
                <w:lang w:eastAsia="en-US"/>
              </w:rPr>
            </w:pPr>
            <w:r w:rsidRPr="00D84C7A">
              <w:rPr>
                <w:color w:val="auto"/>
                <w:sz w:val="23"/>
                <w:szCs w:val="23"/>
              </w:rPr>
              <w:t xml:space="preserve">Part 25 </w:t>
            </w:r>
          </w:p>
        </w:tc>
        <w:tc>
          <w:tcPr>
            <w:tcW w:w="0" w:type="auto"/>
            <w:tcBorders>
              <w:top w:val="single" w:sz="4" w:space="0" w:color="auto"/>
              <w:left w:val="single" w:sz="4" w:space="0" w:color="auto"/>
              <w:bottom w:val="single" w:sz="4" w:space="0" w:color="auto"/>
              <w:right w:val="single" w:sz="4" w:space="0" w:color="auto"/>
            </w:tcBorders>
            <w:vAlign w:val="center"/>
            <w:hideMark/>
          </w:tcPr>
          <w:p w:rsidR="006B2AD0" w:rsidRPr="00D84C7A" w:rsidRDefault="006B2AD0" w:rsidP="003530FF">
            <w:pPr>
              <w:spacing w:after="0"/>
              <w:rPr>
                <w:color w:val="auto"/>
                <w:lang w:eastAsia="en-US"/>
              </w:rPr>
            </w:pPr>
            <w:r w:rsidRPr="00D84C7A">
              <w:rPr>
                <w:color w:val="auto"/>
              </w:rPr>
              <w:t>Whistle-blowing Policy</w:t>
            </w:r>
          </w:p>
        </w:tc>
      </w:tr>
      <w:tr w:rsidR="003530FF"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color w:val="auto"/>
                <w:sz w:val="23"/>
                <w:szCs w:val="23"/>
              </w:rPr>
            </w:pPr>
            <w:r>
              <w:rPr>
                <w:color w:val="auto"/>
                <w:sz w:val="23"/>
                <w:szCs w:val="23"/>
              </w:rPr>
              <w:t>Part 26</w:t>
            </w:r>
          </w:p>
        </w:tc>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color w:val="auto"/>
              </w:rPr>
            </w:pPr>
            <w:r>
              <w:rPr>
                <w:color w:val="auto"/>
              </w:rPr>
              <w:t>Councillors’ Allowances</w:t>
            </w:r>
          </w:p>
        </w:tc>
      </w:tr>
      <w:tr w:rsidR="003530FF" w:rsidRPr="00892591" w:rsidTr="003530FF">
        <w:trPr>
          <w:trHeight w:val="472"/>
        </w:trPr>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color w:val="auto"/>
                <w:sz w:val="23"/>
                <w:szCs w:val="23"/>
              </w:rPr>
            </w:pPr>
            <w:r>
              <w:rPr>
                <w:color w:val="auto"/>
                <w:sz w:val="23"/>
                <w:szCs w:val="23"/>
              </w:rPr>
              <w:t>Part 27</w:t>
            </w:r>
          </w:p>
        </w:tc>
        <w:tc>
          <w:tcPr>
            <w:tcW w:w="0" w:type="auto"/>
            <w:tcBorders>
              <w:top w:val="single" w:sz="4" w:space="0" w:color="auto"/>
              <w:left w:val="single" w:sz="4" w:space="0" w:color="auto"/>
              <w:bottom w:val="single" w:sz="4" w:space="0" w:color="auto"/>
              <w:right w:val="single" w:sz="4" w:space="0" w:color="auto"/>
            </w:tcBorders>
            <w:vAlign w:val="center"/>
          </w:tcPr>
          <w:p w:rsidR="003530FF" w:rsidRPr="00D84C7A" w:rsidRDefault="0009187A" w:rsidP="003530FF">
            <w:pPr>
              <w:spacing w:after="0"/>
              <w:rPr>
                <w:color w:val="auto"/>
              </w:rPr>
            </w:pPr>
            <w:r>
              <w:rPr>
                <w:color w:val="auto"/>
              </w:rPr>
              <w:t>ICT Acceptable Use Policy</w:t>
            </w:r>
          </w:p>
        </w:tc>
      </w:tr>
    </w:tbl>
    <w:p w:rsidR="006B2AD0" w:rsidRDefault="006B2AD0" w:rsidP="006B2AD0">
      <w:pPr>
        <w:pStyle w:val="ListParagraph"/>
        <w:rPr>
          <w:rStyle w:val="ListParagraphChar"/>
        </w:rPr>
      </w:pPr>
    </w:p>
    <w:p w:rsidR="006B2AD0" w:rsidRPr="00E715C7" w:rsidRDefault="006B2AD0" w:rsidP="006B2AD0">
      <w:pPr>
        <w:spacing w:after="0"/>
        <w:rPr>
          <w:rStyle w:val="ListParagraphChar"/>
        </w:rPr>
      </w:pPr>
    </w:p>
    <w:p w:rsidR="00E715C7" w:rsidRPr="001356F1" w:rsidRDefault="00E715C7" w:rsidP="00D6291F">
      <w:pPr>
        <w:pStyle w:val="bParagraphtext"/>
        <w:spacing w:after="0"/>
        <w:ind w:left="567" w:hanging="567"/>
        <w:rPr>
          <w:rStyle w:val="ListParagraphChar"/>
        </w:rPr>
      </w:pPr>
    </w:p>
    <w:p w:rsidR="009A22F8" w:rsidRDefault="009A22F8" w:rsidP="00D6291F">
      <w:pPr>
        <w:pStyle w:val="Heading1"/>
        <w:spacing w:before="0"/>
        <w:ind w:left="567" w:hanging="567"/>
      </w:pPr>
    </w:p>
    <w:p w:rsidR="009A22F8" w:rsidRDefault="009A22F8" w:rsidP="00D6291F">
      <w:pPr>
        <w:pStyle w:val="Heading1"/>
        <w:spacing w:before="0"/>
        <w:ind w:left="567" w:hanging="567"/>
      </w:pPr>
    </w:p>
    <w:p w:rsidR="00595057" w:rsidRDefault="00595057" w:rsidP="00CA5357">
      <w:pPr>
        <w:pStyle w:val="Heading1"/>
        <w:spacing w:before="0"/>
      </w:pPr>
    </w:p>
    <w:p w:rsidR="00595057" w:rsidRDefault="00595057" w:rsidP="00CA5357">
      <w:pPr>
        <w:pStyle w:val="Heading1"/>
        <w:spacing w:before="0"/>
      </w:pPr>
    </w:p>
    <w:p w:rsidR="00595057" w:rsidRDefault="00595057" w:rsidP="00CA5357">
      <w:pPr>
        <w:pStyle w:val="Heading1"/>
        <w:spacing w:before="0"/>
      </w:pPr>
    </w:p>
    <w:p w:rsidR="00595057" w:rsidRDefault="00595057" w:rsidP="00CA5357">
      <w:pPr>
        <w:pStyle w:val="Heading1"/>
        <w:spacing w:before="0"/>
      </w:pPr>
    </w:p>
    <w:p w:rsidR="00595057" w:rsidRDefault="00595057" w:rsidP="00CA5357">
      <w:pPr>
        <w:pStyle w:val="Heading1"/>
        <w:spacing w:before="0"/>
      </w:pPr>
    </w:p>
    <w:p w:rsidR="00DD068B" w:rsidRPr="00DD068B" w:rsidRDefault="002329CF" w:rsidP="00CA5357">
      <w:pPr>
        <w:pStyle w:val="Heading1"/>
        <w:spacing w:before="0"/>
      </w:pPr>
      <w:r w:rsidRPr="001356F1">
        <w:t>Financial implications</w:t>
      </w:r>
    </w:p>
    <w:p w:rsidR="00E87F7A" w:rsidRDefault="0069476D" w:rsidP="00D6291F">
      <w:pPr>
        <w:pStyle w:val="ListParagraph"/>
        <w:numPr>
          <w:ilvl w:val="0"/>
          <w:numId w:val="34"/>
        </w:numPr>
        <w:tabs>
          <w:tab w:val="clear" w:pos="426"/>
        </w:tabs>
        <w:spacing w:after="0"/>
        <w:ind w:left="567" w:hanging="567"/>
      </w:pPr>
      <w:r>
        <w:t>There are no financial implications arising from the recommendations contained in this report.</w:t>
      </w:r>
    </w:p>
    <w:p w:rsidR="002D6F34" w:rsidRDefault="002D6F34" w:rsidP="00D6291F">
      <w:pPr>
        <w:pStyle w:val="ListParagraph"/>
        <w:spacing w:after="0"/>
        <w:ind w:left="567" w:hanging="567"/>
      </w:pPr>
    </w:p>
    <w:p w:rsidR="0040736F" w:rsidRPr="001356F1" w:rsidRDefault="00DA614B" w:rsidP="00D6291F">
      <w:pPr>
        <w:pStyle w:val="Heading1"/>
        <w:spacing w:before="0"/>
        <w:ind w:left="567" w:hanging="567"/>
      </w:pPr>
      <w:r w:rsidRPr="001356F1">
        <w:t>Legal issues</w:t>
      </w:r>
    </w:p>
    <w:p w:rsidR="00DD068B" w:rsidRDefault="00DD068B" w:rsidP="00DD068B">
      <w:pPr>
        <w:pStyle w:val="ListParagraph"/>
        <w:numPr>
          <w:ilvl w:val="0"/>
          <w:numId w:val="34"/>
        </w:numPr>
        <w:tabs>
          <w:tab w:val="clear" w:pos="426"/>
          <w:tab w:val="left" w:pos="567"/>
        </w:tabs>
        <w:spacing w:after="0"/>
        <w:ind w:left="567" w:hanging="567"/>
      </w:pPr>
      <w:r>
        <w:t>A local authority is under a duty to prepare and keep up to date its constitution under section 9P of the Local Government Act 2000 as amended. The Constitution must contain:</w:t>
      </w:r>
    </w:p>
    <w:p w:rsidR="00DD068B" w:rsidRDefault="0034623D" w:rsidP="00DD068B">
      <w:pPr>
        <w:pStyle w:val="ListParagraph"/>
        <w:numPr>
          <w:ilvl w:val="0"/>
          <w:numId w:val="43"/>
        </w:numPr>
        <w:spacing w:after="0"/>
        <w:ind w:firstLine="633"/>
      </w:pPr>
      <w:r>
        <w:t xml:space="preserve">the Council’s </w:t>
      </w:r>
      <w:r w:rsidR="00DD068B">
        <w:t>standing orders/procedure rules;</w:t>
      </w:r>
    </w:p>
    <w:p w:rsidR="00DD068B" w:rsidRDefault="0034623D" w:rsidP="00DD068B">
      <w:pPr>
        <w:pStyle w:val="ListParagraph"/>
        <w:numPr>
          <w:ilvl w:val="0"/>
          <w:numId w:val="43"/>
        </w:numPr>
        <w:spacing w:after="0"/>
        <w:ind w:firstLine="633"/>
      </w:pPr>
      <w:r>
        <w:t xml:space="preserve">the Council’s </w:t>
      </w:r>
      <w:r w:rsidR="00DD068B">
        <w:t>members' code of conduct;</w:t>
      </w:r>
    </w:p>
    <w:p w:rsidR="00DD068B" w:rsidRDefault="00DD068B" w:rsidP="00DD068B">
      <w:pPr>
        <w:pStyle w:val="ListParagraph"/>
        <w:numPr>
          <w:ilvl w:val="0"/>
          <w:numId w:val="43"/>
        </w:numPr>
        <w:spacing w:after="0"/>
        <w:ind w:firstLine="633"/>
      </w:pPr>
      <w:r>
        <w:t>such information as the Secretary of State may direct;</w:t>
      </w:r>
      <w:r w:rsidR="0034623D">
        <w:t xml:space="preserve"> and</w:t>
      </w:r>
    </w:p>
    <w:p w:rsidR="00DD068B" w:rsidRDefault="00DD068B" w:rsidP="00DD068B">
      <w:pPr>
        <w:pStyle w:val="ListParagraph"/>
        <w:numPr>
          <w:ilvl w:val="0"/>
          <w:numId w:val="43"/>
        </w:numPr>
        <w:spacing w:after="0"/>
        <w:ind w:firstLine="633"/>
      </w:pPr>
      <w:proofErr w:type="gramStart"/>
      <w:r>
        <w:t>such</w:t>
      </w:r>
      <w:proofErr w:type="gramEnd"/>
      <w:r>
        <w:t xml:space="preserve"> other information (if any) as the authority considers appropriate.</w:t>
      </w:r>
    </w:p>
    <w:p w:rsidR="00DD068B" w:rsidRDefault="00DD068B" w:rsidP="00DD068B">
      <w:pPr>
        <w:spacing w:after="0"/>
        <w:ind w:left="993"/>
      </w:pPr>
    </w:p>
    <w:p w:rsidR="00DD068B" w:rsidRPr="00DD068B" w:rsidRDefault="00DD068B" w:rsidP="00D6291F">
      <w:pPr>
        <w:pStyle w:val="ListParagraph"/>
        <w:numPr>
          <w:ilvl w:val="0"/>
          <w:numId w:val="34"/>
        </w:numPr>
        <w:tabs>
          <w:tab w:val="clear" w:pos="426"/>
        </w:tabs>
        <w:spacing w:after="0"/>
        <w:ind w:left="567" w:hanging="567"/>
        <w:rPr>
          <w:color w:val="auto"/>
        </w:rPr>
      </w:pPr>
      <w:r w:rsidRPr="00DD068B">
        <w:rPr>
          <w:rFonts w:cs="Arial"/>
          <w:color w:val="auto"/>
          <w:shd w:val="clear" w:color="auto" w:fill="FFFFFF"/>
        </w:rPr>
        <w:t>A Constitution Direction was issued by the Secretary of State in December 2000 that required around 80 matters to be included within constitutions, covering members' allowances schemes, details of procedures for meetings, details of joint arrangements with other local authorities and a description of the rights of inhabitants of the area, amongst other things.</w:t>
      </w:r>
    </w:p>
    <w:p w:rsidR="00DD068B" w:rsidRDefault="00DD068B" w:rsidP="00DD068B">
      <w:pPr>
        <w:spacing w:after="0"/>
      </w:pPr>
    </w:p>
    <w:p w:rsidR="00E87F7A" w:rsidRDefault="001A5A60" w:rsidP="00D6291F">
      <w:pPr>
        <w:pStyle w:val="ListParagraph"/>
        <w:numPr>
          <w:ilvl w:val="0"/>
          <w:numId w:val="34"/>
        </w:numPr>
        <w:tabs>
          <w:tab w:val="clear" w:pos="426"/>
        </w:tabs>
        <w:spacing w:after="0"/>
        <w:ind w:left="567" w:hanging="567"/>
        <w:rPr>
          <w:rStyle w:val="ListParagraphChar"/>
        </w:rPr>
      </w:pPr>
      <w:r>
        <w:t xml:space="preserve">As set out in </w:t>
      </w:r>
      <w:r w:rsidRPr="00C73D6B">
        <w:rPr>
          <w:color w:val="auto"/>
        </w:rPr>
        <w:t xml:space="preserve">paragraph </w:t>
      </w:r>
      <w:r w:rsidR="00C73D6B" w:rsidRPr="00C73D6B">
        <w:rPr>
          <w:color w:val="auto"/>
        </w:rPr>
        <w:t>6</w:t>
      </w:r>
      <w:r w:rsidRPr="00C73D6B">
        <w:rPr>
          <w:color w:val="auto"/>
        </w:rPr>
        <w:t xml:space="preserve">, </w:t>
      </w:r>
      <w:r>
        <w:t xml:space="preserve">the Monitoring Officer has delegated authority to </w:t>
      </w:r>
      <w:r w:rsidRPr="00E715C7">
        <w:rPr>
          <w:rStyle w:val="ListParagraphChar"/>
        </w:rPr>
        <w:t>make any changes necessary to ensure the Constitution continues to reflect the law</w:t>
      </w:r>
      <w:r>
        <w:rPr>
          <w:rStyle w:val="ListParagraphChar"/>
        </w:rPr>
        <w:t xml:space="preserve">.  </w:t>
      </w:r>
    </w:p>
    <w:p w:rsidR="00DD068B" w:rsidRDefault="00DD068B" w:rsidP="00DD068B">
      <w:pPr>
        <w:spacing w:after="0"/>
        <w:rPr>
          <w:rStyle w:val="ListParagraphChar"/>
        </w:rPr>
      </w:pPr>
    </w:p>
    <w:p w:rsidR="00DD068B" w:rsidRDefault="00DD068B" w:rsidP="00D6291F">
      <w:pPr>
        <w:pStyle w:val="ListParagraph"/>
        <w:numPr>
          <w:ilvl w:val="0"/>
          <w:numId w:val="34"/>
        </w:numPr>
        <w:tabs>
          <w:tab w:val="clear" w:pos="426"/>
        </w:tabs>
        <w:spacing w:after="0"/>
        <w:ind w:left="567" w:hanging="567"/>
        <w:rPr>
          <w:rStyle w:val="ListParagraphChar"/>
        </w:rPr>
      </w:pPr>
      <w:r>
        <w:rPr>
          <w:rStyle w:val="ListParagraphChar"/>
        </w:rPr>
        <w:t>There no other legal issues arising from the recommendations contained in this report.</w:t>
      </w:r>
    </w:p>
    <w:p w:rsidR="009D469F" w:rsidRDefault="009D469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95E1A" w:rsidP="00A46E98">
            <w:r>
              <w:t>Emma Griffiths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C95E1A" w:rsidP="00A46E98">
            <w:r>
              <w:t>Lawyer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3675F"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3675F" w:rsidP="00C73D6B">
            <w:r w:rsidRPr="00C73D6B">
              <w:rPr>
                <w:color w:val="auto"/>
              </w:rPr>
              <w:t>01865 25</w:t>
            </w:r>
            <w:r w:rsidR="00C73D6B" w:rsidRPr="00C73D6B">
              <w:rPr>
                <w:color w:val="auto"/>
              </w:rPr>
              <w:t>2208</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3530FF" w:rsidRPr="001356F1" w:rsidRDefault="002344BB" w:rsidP="003530FF">
            <w:pPr>
              <w:rPr>
                <w:rStyle w:val="Hyperlink"/>
                <w:color w:val="000000"/>
              </w:rPr>
            </w:pPr>
            <w:hyperlink r:id="rId9" w:history="1">
              <w:r w:rsidR="003530FF" w:rsidRPr="001C4417">
                <w:rPr>
                  <w:rStyle w:val="Hyperlink"/>
                </w:rPr>
                <w:t>egriffiths@oxford.gov.uk</w:t>
              </w:r>
            </w:hyperlink>
          </w:p>
        </w:tc>
      </w:tr>
    </w:tbl>
    <w:p w:rsidR="00433B96" w:rsidRPr="001356F1" w:rsidRDefault="00433B96" w:rsidP="004A6D2F"/>
    <w:p w:rsidR="004456DD" w:rsidRPr="009E51FC" w:rsidRDefault="004456DD" w:rsidP="003530FF"/>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CB" w:rsidRDefault="00B67CCB" w:rsidP="004A6D2F">
      <w:r>
        <w:separator/>
      </w:r>
    </w:p>
  </w:endnote>
  <w:endnote w:type="continuationSeparator" w:id="0">
    <w:p w:rsidR="00B67CCB" w:rsidRDefault="00B67CC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CB" w:rsidRDefault="00B67CCB" w:rsidP="004A6D2F">
      <w:r>
        <w:separator/>
      </w:r>
    </w:p>
  </w:footnote>
  <w:footnote w:type="continuationSeparator" w:id="0">
    <w:p w:rsidR="00B67CCB" w:rsidRDefault="00B67CC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67CCB"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EA1C25"/>
    <w:multiLevelType w:val="hybridMultilevel"/>
    <w:tmpl w:val="FBAED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CE631F"/>
    <w:multiLevelType w:val="hybridMultilevel"/>
    <w:tmpl w:val="DF8A3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0F83F66"/>
    <w:multiLevelType w:val="hybridMultilevel"/>
    <w:tmpl w:val="96BA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D324C51"/>
    <w:multiLevelType w:val="hybridMultilevel"/>
    <w:tmpl w:val="024C5B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1A2020A"/>
    <w:multiLevelType w:val="hybridMultilevel"/>
    <w:tmpl w:val="B0AC2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2263A6A"/>
    <w:multiLevelType w:val="multilevel"/>
    <w:tmpl w:val="43D6D2FA"/>
    <w:numStyleLink w:val="StyleBulletedSymbolsymbolLeft063cmHanging063cm"/>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127E85"/>
    <w:multiLevelType w:val="hybridMultilevel"/>
    <w:tmpl w:val="80B06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097197"/>
    <w:multiLevelType w:val="hybridMultilevel"/>
    <w:tmpl w:val="D32A713E"/>
    <w:lvl w:ilvl="0" w:tplc="D8B65CD0">
      <w:start w:val="1"/>
      <w:numFmt w:val="decimal"/>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B843AC"/>
    <w:multiLevelType w:val="hybridMultilevel"/>
    <w:tmpl w:val="C75238B2"/>
    <w:lvl w:ilvl="0" w:tplc="153E4C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55347414"/>
    <w:multiLevelType w:val="hybridMultilevel"/>
    <w:tmpl w:val="D460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7AC172C"/>
    <w:multiLevelType w:val="hybridMultilevel"/>
    <w:tmpl w:val="6E44A598"/>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ABA5FD8"/>
    <w:multiLevelType w:val="multilevel"/>
    <w:tmpl w:val="43D6D2FA"/>
    <w:numStyleLink w:val="StyleBulletedSymbolsymbolLeft063cmHanging063cm"/>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AB404E"/>
    <w:multiLevelType w:val="hybridMultilevel"/>
    <w:tmpl w:val="BD5AA0A0"/>
    <w:lvl w:ilvl="0" w:tplc="0809001B">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nsid w:val="6C496989"/>
    <w:multiLevelType w:val="singleLevel"/>
    <w:tmpl w:val="0809000F"/>
    <w:lvl w:ilvl="0">
      <w:start w:val="1"/>
      <w:numFmt w:val="decimal"/>
      <w:lvlText w:val="%1."/>
      <w:lvlJc w:val="left"/>
      <w:pPr>
        <w:ind w:left="360" w:hanging="360"/>
      </w:pPr>
      <w:rPr>
        <w:color w:val="000000"/>
        <w:sz w:val="24"/>
      </w:rPr>
    </w:lvl>
  </w:abstractNum>
  <w:abstractNum w:abstractNumId="4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B931B3A"/>
    <w:multiLevelType w:val="hybridMultilevel"/>
    <w:tmpl w:val="11626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40"/>
  </w:num>
  <w:num w:numId="3">
    <w:abstractNumId w:val="29"/>
  </w:num>
  <w:num w:numId="4">
    <w:abstractNumId w:val="23"/>
  </w:num>
  <w:num w:numId="5">
    <w:abstractNumId w:val="37"/>
  </w:num>
  <w:num w:numId="6">
    <w:abstractNumId w:val="43"/>
  </w:num>
  <w:num w:numId="7">
    <w:abstractNumId w:val="28"/>
  </w:num>
  <w:num w:numId="8">
    <w:abstractNumId w:val="25"/>
  </w:num>
  <w:num w:numId="9">
    <w:abstractNumId w:val="14"/>
  </w:num>
  <w:num w:numId="10">
    <w:abstractNumId w:val="19"/>
  </w:num>
  <w:num w:numId="11">
    <w:abstractNumId w:val="31"/>
  </w:num>
  <w:num w:numId="12">
    <w:abstractNumId w:val="30"/>
  </w:num>
  <w:num w:numId="13">
    <w:abstractNumId w:val="10"/>
  </w:num>
  <w:num w:numId="14">
    <w:abstractNumId w:val="42"/>
  </w:num>
  <w:num w:numId="15">
    <w:abstractNumId w:val="20"/>
  </w:num>
  <w:num w:numId="16">
    <w:abstractNumId w:val="11"/>
  </w:num>
  <w:num w:numId="17">
    <w:abstractNumId w:val="36"/>
  </w:num>
  <w:num w:numId="18">
    <w:abstractNumId w:val="12"/>
  </w:num>
  <w:num w:numId="19">
    <w:abstractNumId w:val="38"/>
  </w:num>
  <w:num w:numId="20">
    <w:abstractNumId w:val="22"/>
  </w:num>
  <w:num w:numId="21">
    <w:abstractNumId w:val="26"/>
  </w:num>
  <w:num w:numId="22">
    <w:abstractNumId w:val="15"/>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18"/>
  </w:num>
  <w:num w:numId="36">
    <w:abstractNumId w:val="17"/>
  </w:num>
  <w:num w:numId="37">
    <w:abstractNumId w:val="27"/>
  </w:num>
  <w:num w:numId="38">
    <w:abstractNumId w:val="16"/>
  </w:num>
  <w:num w:numId="39">
    <w:abstractNumId w:val="21"/>
  </w:num>
  <w:num w:numId="40">
    <w:abstractNumId w:val="24"/>
  </w:num>
  <w:num w:numId="41">
    <w:abstractNumId w:val="44"/>
  </w:num>
  <w:num w:numId="42">
    <w:abstractNumId w:val="33"/>
  </w:num>
  <w:num w:numId="43">
    <w:abstractNumId w:val="13"/>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CB"/>
    <w:rsid w:val="000117D4"/>
    <w:rsid w:val="000314D7"/>
    <w:rsid w:val="00045F8B"/>
    <w:rsid w:val="00046D2B"/>
    <w:rsid w:val="000538D7"/>
    <w:rsid w:val="00056263"/>
    <w:rsid w:val="00057FA1"/>
    <w:rsid w:val="00062BB1"/>
    <w:rsid w:val="00064D8A"/>
    <w:rsid w:val="00064F82"/>
    <w:rsid w:val="00066510"/>
    <w:rsid w:val="00067D6C"/>
    <w:rsid w:val="00073534"/>
    <w:rsid w:val="0007365E"/>
    <w:rsid w:val="00077523"/>
    <w:rsid w:val="0009187A"/>
    <w:rsid w:val="000A6176"/>
    <w:rsid w:val="000C089F"/>
    <w:rsid w:val="000C3928"/>
    <w:rsid w:val="000C5E8E"/>
    <w:rsid w:val="000E2EB7"/>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A5A60"/>
    <w:rsid w:val="001B42C3"/>
    <w:rsid w:val="001C5D5E"/>
    <w:rsid w:val="001D552E"/>
    <w:rsid w:val="001D678D"/>
    <w:rsid w:val="001E03F8"/>
    <w:rsid w:val="001E1678"/>
    <w:rsid w:val="001E3376"/>
    <w:rsid w:val="002069B3"/>
    <w:rsid w:val="002100E7"/>
    <w:rsid w:val="00220DB9"/>
    <w:rsid w:val="002329CF"/>
    <w:rsid w:val="00232F5B"/>
    <w:rsid w:val="002344BB"/>
    <w:rsid w:val="00247C29"/>
    <w:rsid w:val="00260467"/>
    <w:rsid w:val="00263EA3"/>
    <w:rsid w:val="002807EC"/>
    <w:rsid w:val="00284F85"/>
    <w:rsid w:val="00290915"/>
    <w:rsid w:val="00290FF8"/>
    <w:rsid w:val="00293B07"/>
    <w:rsid w:val="00295311"/>
    <w:rsid w:val="002A22E2"/>
    <w:rsid w:val="002C64F7"/>
    <w:rsid w:val="002D6F34"/>
    <w:rsid w:val="002F41F2"/>
    <w:rsid w:val="00301BF3"/>
    <w:rsid w:val="0030208D"/>
    <w:rsid w:val="00323418"/>
    <w:rsid w:val="003357BF"/>
    <w:rsid w:val="00342E15"/>
    <w:rsid w:val="0034623D"/>
    <w:rsid w:val="003530FF"/>
    <w:rsid w:val="00364FAD"/>
    <w:rsid w:val="0036738F"/>
    <w:rsid w:val="0036759C"/>
    <w:rsid w:val="00367AE5"/>
    <w:rsid w:val="00367D71"/>
    <w:rsid w:val="0038150A"/>
    <w:rsid w:val="003A05CF"/>
    <w:rsid w:val="003A6895"/>
    <w:rsid w:val="003B6E75"/>
    <w:rsid w:val="003B7DA1"/>
    <w:rsid w:val="003C3C1C"/>
    <w:rsid w:val="003D0379"/>
    <w:rsid w:val="003D2574"/>
    <w:rsid w:val="003D4C59"/>
    <w:rsid w:val="003F0CC9"/>
    <w:rsid w:val="003F158B"/>
    <w:rsid w:val="003F251A"/>
    <w:rsid w:val="003F4267"/>
    <w:rsid w:val="00404032"/>
    <w:rsid w:val="0040736F"/>
    <w:rsid w:val="004105FA"/>
    <w:rsid w:val="00412C1F"/>
    <w:rsid w:val="00421CB2"/>
    <w:rsid w:val="004268B9"/>
    <w:rsid w:val="00431541"/>
    <w:rsid w:val="00433B96"/>
    <w:rsid w:val="004440F1"/>
    <w:rsid w:val="004456DD"/>
    <w:rsid w:val="00446CDF"/>
    <w:rsid w:val="004521B7"/>
    <w:rsid w:val="00462AB5"/>
    <w:rsid w:val="00465EAF"/>
    <w:rsid w:val="004738C5"/>
    <w:rsid w:val="0047787E"/>
    <w:rsid w:val="00491046"/>
    <w:rsid w:val="004A2AC7"/>
    <w:rsid w:val="004A6D2F"/>
    <w:rsid w:val="004B0A59"/>
    <w:rsid w:val="004C2887"/>
    <w:rsid w:val="004D2626"/>
    <w:rsid w:val="004D6E26"/>
    <w:rsid w:val="004D77D3"/>
    <w:rsid w:val="004E2959"/>
    <w:rsid w:val="004F20EF"/>
    <w:rsid w:val="0050321C"/>
    <w:rsid w:val="00513B54"/>
    <w:rsid w:val="00520F06"/>
    <w:rsid w:val="00527ABF"/>
    <w:rsid w:val="0054712D"/>
    <w:rsid w:val="00547EF6"/>
    <w:rsid w:val="00555AFA"/>
    <w:rsid w:val="005570B5"/>
    <w:rsid w:val="005620B4"/>
    <w:rsid w:val="00567E18"/>
    <w:rsid w:val="00575F5F"/>
    <w:rsid w:val="00581805"/>
    <w:rsid w:val="00585F76"/>
    <w:rsid w:val="00595057"/>
    <w:rsid w:val="005A34E4"/>
    <w:rsid w:val="005A4D55"/>
    <w:rsid w:val="005B17F2"/>
    <w:rsid w:val="005B7FB0"/>
    <w:rsid w:val="005C35A5"/>
    <w:rsid w:val="005C577C"/>
    <w:rsid w:val="005D0621"/>
    <w:rsid w:val="005D1E27"/>
    <w:rsid w:val="005D2A3E"/>
    <w:rsid w:val="005E022E"/>
    <w:rsid w:val="005E5215"/>
    <w:rsid w:val="005E5D3A"/>
    <w:rsid w:val="005F61A7"/>
    <w:rsid w:val="005F7F7E"/>
    <w:rsid w:val="00614018"/>
    <w:rsid w:val="00614693"/>
    <w:rsid w:val="00623C2F"/>
    <w:rsid w:val="00625BFC"/>
    <w:rsid w:val="00633578"/>
    <w:rsid w:val="00637068"/>
    <w:rsid w:val="00645BB8"/>
    <w:rsid w:val="00650811"/>
    <w:rsid w:val="00656186"/>
    <w:rsid w:val="00661D3E"/>
    <w:rsid w:val="006904A6"/>
    <w:rsid w:val="00692627"/>
    <w:rsid w:val="0069476D"/>
    <w:rsid w:val="006969E7"/>
    <w:rsid w:val="006A3643"/>
    <w:rsid w:val="006A5CCC"/>
    <w:rsid w:val="006B2AD0"/>
    <w:rsid w:val="006C2A29"/>
    <w:rsid w:val="006C64CF"/>
    <w:rsid w:val="006D17B1"/>
    <w:rsid w:val="006D4752"/>
    <w:rsid w:val="006D708A"/>
    <w:rsid w:val="006E14C1"/>
    <w:rsid w:val="006F0292"/>
    <w:rsid w:val="006F27FA"/>
    <w:rsid w:val="006F416B"/>
    <w:rsid w:val="006F519B"/>
    <w:rsid w:val="00701BCE"/>
    <w:rsid w:val="00703136"/>
    <w:rsid w:val="00713675"/>
    <w:rsid w:val="007151B0"/>
    <w:rsid w:val="00715823"/>
    <w:rsid w:val="007322EC"/>
    <w:rsid w:val="00733CB3"/>
    <w:rsid w:val="00737B93"/>
    <w:rsid w:val="00745BF0"/>
    <w:rsid w:val="007615FE"/>
    <w:rsid w:val="007637BE"/>
    <w:rsid w:val="0076655C"/>
    <w:rsid w:val="007742DC"/>
    <w:rsid w:val="00790301"/>
    <w:rsid w:val="00791437"/>
    <w:rsid w:val="00793E1B"/>
    <w:rsid w:val="007A2E34"/>
    <w:rsid w:val="007B0C2C"/>
    <w:rsid w:val="007B278E"/>
    <w:rsid w:val="007B47A7"/>
    <w:rsid w:val="007C38BE"/>
    <w:rsid w:val="007C5C23"/>
    <w:rsid w:val="007E2A26"/>
    <w:rsid w:val="007F2348"/>
    <w:rsid w:val="00803F07"/>
    <w:rsid w:val="00805E26"/>
    <w:rsid w:val="0080749A"/>
    <w:rsid w:val="0080783C"/>
    <w:rsid w:val="00811B14"/>
    <w:rsid w:val="00821FB8"/>
    <w:rsid w:val="00822ACD"/>
    <w:rsid w:val="00835BF4"/>
    <w:rsid w:val="008411D8"/>
    <w:rsid w:val="00843555"/>
    <w:rsid w:val="00855C66"/>
    <w:rsid w:val="00871EE4"/>
    <w:rsid w:val="00881D31"/>
    <w:rsid w:val="00892591"/>
    <w:rsid w:val="008A528A"/>
    <w:rsid w:val="008A5929"/>
    <w:rsid w:val="008B293F"/>
    <w:rsid w:val="008B7371"/>
    <w:rsid w:val="008D3DDB"/>
    <w:rsid w:val="008D3F98"/>
    <w:rsid w:val="008F573F"/>
    <w:rsid w:val="009034EC"/>
    <w:rsid w:val="00916D33"/>
    <w:rsid w:val="0093067A"/>
    <w:rsid w:val="009406A0"/>
    <w:rsid w:val="00941C60"/>
    <w:rsid w:val="00962613"/>
    <w:rsid w:val="00966D42"/>
    <w:rsid w:val="00971689"/>
    <w:rsid w:val="00973E90"/>
    <w:rsid w:val="00975B07"/>
    <w:rsid w:val="00980B4A"/>
    <w:rsid w:val="00997B37"/>
    <w:rsid w:val="009A22F8"/>
    <w:rsid w:val="009B3081"/>
    <w:rsid w:val="009D469F"/>
    <w:rsid w:val="009E3D0A"/>
    <w:rsid w:val="009E51FC"/>
    <w:rsid w:val="009E5620"/>
    <w:rsid w:val="009F1D28"/>
    <w:rsid w:val="009F7618"/>
    <w:rsid w:val="00A04D23"/>
    <w:rsid w:val="00A06766"/>
    <w:rsid w:val="00A13765"/>
    <w:rsid w:val="00A21B12"/>
    <w:rsid w:val="00A23F80"/>
    <w:rsid w:val="00A46E98"/>
    <w:rsid w:val="00A4763B"/>
    <w:rsid w:val="00A575B1"/>
    <w:rsid w:val="00A6352B"/>
    <w:rsid w:val="00A701B5"/>
    <w:rsid w:val="00A714BB"/>
    <w:rsid w:val="00A834EE"/>
    <w:rsid w:val="00A92D8F"/>
    <w:rsid w:val="00AB1FBE"/>
    <w:rsid w:val="00AB20E8"/>
    <w:rsid w:val="00AB22F6"/>
    <w:rsid w:val="00AB2988"/>
    <w:rsid w:val="00AB7999"/>
    <w:rsid w:val="00AD3292"/>
    <w:rsid w:val="00AE7AF0"/>
    <w:rsid w:val="00B44489"/>
    <w:rsid w:val="00B47040"/>
    <w:rsid w:val="00B500CA"/>
    <w:rsid w:val="00B55E94"/>
    <w:rsid w:val="00B62505"/>
    <w:rsid w:val="00B67CCB"/>
    <w:rsid w:val="00B86314"/>
    <w:rsid w:val="00B918CC"/>
    <w:rsid w:val="00B936A5"/>
    <w:rsid w:val="00B95C3B"/>
    <w:rsid w:val="00BA115B"/>
    <w:rsid w:val="00BA1C2E"/>
    <w:rsid w:val="00BC200B"/>
    <w:rsid w:val="00BC4756"/>
    <w:rsid w:val="00BC671D"/>
    <w:rsid w:val="00BC69A4"/>
    <w:rsid w:val="00BE0680"/>
    <w:rsid w:val="00BE305F"/>
    <w:rsid w:val="00BE7BA3"/>
    <w:rsid w:val="00BF4DE5"/>
    <w:rsid w:val="00BF5682"/>
    <w:rsid w:val="00BF7B09"/>
    <w:rsid w:val="00C042FA"/>
    <w:rsid w:val="00C12E98"/>
    <w:rsid w:val="00C20A95"/>
    <w:rsid w:val="00C2692F"/>
    <w:rsid w:val="00C3207C"/>
    <w:rsid w:val="00C400E1"/>
    <w:rsid w:val="00C41187"/>
    <w:rsid w:val="00C42752"/>
    <w:rsid w:val="00C51932"/>
    <w:rsid w:val="00C63C31"/>
    <w:rsid w:val="00C63C3B"/>
    <w:rsid w:val="00C73D6B"/>
    <w:rsid w:val="00C757A0"/>
    <w:rsid w:val="00C760DE"/>
    <w:rsid w:val="00C82630"/>
    <w:rsid w:val="00C85B4E"/>
    <w:rsid w:val="00C907F7"/>
    <w:rsid w:val="00C95E1A"/>
    <w:rsid w:val="00CA2103"/>
    <w:rsid w:val="00CA5357"/>
    <w:rsid w:val="00CB6B99"/>
    <w:rsid w:val="00CE4C87"/>
    <w:rsid w:val="00CE544A"/>
    <w:rsid w:val="00D078A9"/>
    <w:rsid w:val="00D11E1C"/>
    <w:rsid w:val="00D160B0"/>
    <w:rsid w:val="00D17F94"/>
    <w:rsid w:val="00D21514"/>
    <w:rsid w:val="00D223FC"/>
    <w:rsid w:val="00D23EA2"/>
    <w:rsid w:val="00D23FCA"/>
    <w:rsid w:val="00D25AD1"/>
    <w:rsid w:val="00D26D1E"/>
    <w:rsid w:val="00D3675F"/>
    <w:rsid w:val="00D44F17"/>
    <w:rsid w:val="00D474CF"/>
    <w:rsid w:val="00D514E7"/>
    <w:rsid w:val="00D5547E"/>
    <w:rsid w:val="00D6291F"/>
    <w:rsid w:val="00D84C7A"/>
    <w:rsid w:val="00D85237"/>
    <w:rsid w:val="00D869A1"/>
    <w:rsid w:val="00DA40E3"/>
    <w:rsid w:val="00DA413F"/>
    <w:rsid w:val="00DA4584"/>
    <w:rsid w:val="00DA614B"/>
    <w:rsid w:val="00DA68A1"/>
    <w:rsid w:val="00DC3060"/>
    <w:rsid w:val="00DC51F0"/>
    <w:rsid w:val="00DC7F59"/>
    <w:rsid w:val="00DD068B"/>
    <w:rsid w:val="00DE0FB2"/>
    <w:rsid w:val="00DF093E"/>
    <w:rsid w:val="00E01F42"/>
    <w:rsid w:val="00E206D6"/>
    <w:rsid w:val="00E20FA7"/>
    <w:rsid w:val="00E258F2"/>
    <w:rsid w:val="00E3366E"/>
    <w:rsid w:val="00E52086"/>
    <w:rsid w:val="00E543A6"/>
    <w:rsid w:val="00E60479"/>
    <w:rsid w:val="00E61D73"/>
    <w:rsid w:val="00E715C7"/>
    <w:rsid w:val="00E73684"/>
    <w:rsid w:val="00E818D6"/>
    <w:rsid w:val="00E87A20"/>
    <w:rsid w:val="00E87F7A"/>
    <w:rsid w:val="00E96BD7"/>
    <w:rsid w:val="00EA0DB1"/>
    <w:rsid w:val="00EA0EE9"/>
    <w:rsid w:val="00ED52CA"/>
    <w:rsid w:val="00ED5860"/>
    <w:rsid w:val="00EE35C9"/>
    <w:rsid w:val="00EF7492"/>
    <w:rsid w:val="00F05ECA"/>
    <w:rsid w:val="00F3566E"/>
    <w:rsid w:val="00F375FB"/>
    <w:rsid w:val="00F41AC1"/>
    <w:rsid w:val="00F4367A"/>
    <w:rsid w:val="00F440BF"/>
    <w:rsid w:val="00F445B1"/>
    <w:rsid w:val="00F45CD4"/>
    <w:rsid w:val="00F6310A"/>
    <w:rsid w:val="00F66DCA"/>
    <w:rsid w:val="00F74F53"/>
    <w:rsid w:val="00F750AD"/>
    <w:rsid w:val="00F7606D"/>
    <w:rsid w:val="00F81670"/>
    <w:rsid w:val="00F82024"/>
    <w:rsid w:val="00F95BC9"/>
    <w:rsid w:val="00F96D9E"/>
    <w:rsid w:val="00FA624C"/>
    <w:rsid w:val="00FA6720"/>
    <w:rsid w:val="00FB0487"/>
    <w:rsid w:val="00FB57B4"/>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39871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0002559">
      <w:bodyDiv w:val="1"/>
      <w:marLeft w:val="0"/>
      <w:marRight w:val="0"/>
      <w:marTop w:val="0"/>
      <w:marBottom w:val="0"/>
      <w:divBdr>
        <w:top w:val="none" w:sz="0" w:space="0" w:color="auto"/>
        <w:left w:val="none" w:sz="0" w:space="0" w:color="auto"/>
        <w:bottom w:val="none" w:sz="0" w:space="0" w:color="auto"/>
        <w:right w:val="none" w:sz="0" w:space="0" w:color="auto"/>
      </w:divBdr>
    </w:div>
    <w:div w:id="1839081207">
      <w:bodyDiv w:val="1"/>
      <w:marLeft w:val="0"/>
      <w:marRight w:val="0"/>
      <w:marTop w:val="0"/>
      <w:marBottom w:val="0"/>
      <w:divBdr>
        <w:top w:val="none" w:sz="0" w:space="0" w:color="auto"/>
        <w:left w:val="none" w:sz="0" w:space="0" w:color="auto"/>
        <w:bottom w:val="none" w:sz="0" w:space="0" w:color="auto"/>
        <w:right w:val="none" w:sz="0" w:space="0" w:color="auto"/>
      </w:divBdr>
    </w:div>
    <w:div w:id="21081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griffith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2\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4817-949D-4477-9C75-33937911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26</TotalTime>
  <Pages>6</Pages>
  <Words>1864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cphythian</cp:lastModifiedBy>
  <cp:revision>14</cp:revision>
  <cp:lastPrinted>2020-01-13T12:08:00Z</cp:lastPrinted>
  <dcterms:created xsi:type="dcterms:W3CDTF">2020-01-16T10:58:00Z</dcterms:created>
  <dcterms:modified xsi:type="dcterms:W3CDTF">2020-01-17T12:00:00Z</dcterms:modified>
</cp:coreProperties>
</file>